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2C3D87D1" w:rsidR="00BC0B0D" w:rsidRDefault="00BC0B0D" w:rsidP="00BC0B0D">
      <w:pPr>
        <w:rPr>
          <w:rFonts w:ascii="Gudea" w:hAnsi="Gudea"/>
        </w:rPr>
      </w:pPr>
    </w:p>
    <w:p w14:paraId="43EF7513" w14:textId="4F903664" w:rsidR="00CE2C74" w:rsidRPr="00CE2C74" w:rsidRDefault="00AB64FF"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6A836F85">
                <wp:simplePos x="0" y="0"/>
                <wp:positionH relativeFrom="margin">
                  <wp:align>left</wp:align>
                </wp:positionH>
                <wp:positionV relativeFrom="paragraph">
                  <wp:posOffset>467360</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7A2CF8" w:rsidRDefault="00CE2C74" w:rsidP="00CE2C74">
                            <w:pPr>
                              <w:rPr>
                                <w:rFonts w:ascii="Gudea" w:hAnsi="Gudea"/>
                                <w:color w:val="FFFFFF" w:themeColor="background1"/>
                                <w:sz w:val="56"/>
                                <w:szCs w:val="56"/>
                              </w:rPr>
                            </w:pPr>
                          </w:p>
                          <w:p w14:paraId="49E0963E" w14:textId="77777777" w:rsidR="002D302D" w:rsidRPr="007A2CF8" w:rsidRDefault="002D302D" w:rsidP="00154553">
                            <w:pPr>
                              <w:jc w:val="center"/>
                              <w:rPr>
                                <w:rFonts w:ascii="Gudea" w:hAnsi="Gudea"/>
                                <w:b/>
                                <w:bCs/>
                                <w:color w:val="FFFFFF" w:themeColor="background1"/>
                                <w:sz w:val="52"/>
                                <w:szCs w:val="48"/>
                              </w:rPr>
                            </w:pPr>
                          </w:p>
                          <w:p w14:paraId="2B51DAEB" w14:textId="75CB18DE" w:rsidR="00CE2C74" w:rsidRPr="007A2CF8" w:rsidRDefault="002D302D" w:rsidP="00154553">
                            <w:pPr>
                              <w:jc w:val="center"/>
                              <w:rPr>
                                <w:rFonts w:ascii="Gudea" w:hAnsi="Gudea"/>
                                <w:b/>
                                <w:bCs/>
                                <w:color w:val="FFFFFF" w:themeColor="background1"/>
                                <w:sz w:val="52"/>
                                <w:szCs w:val="48"/>
                              </w:rPr>
                            </w:pPr>
                            <w:r>
                              <w:rPr>
                                <w:rFonts w:ascii="Gudea" w:hAnsi="Gudea"/>
                                <w:b/>
                                <w:bCs/>
                                <w:color w:val="FFFFFF" w:themeColor="background1"/>
                                <w:sz w:val="52"/>
                                <w:szCs w:val="48"/>
                              </w:rPr>
                              <w:t>R</w:t>
                            </w:r>
                            <w:r w:rsidR="00CE2C74" w:rsidRPr="007A2CF8">
                              <w:rPr>
                                <w:rFonts w:ascii="Gudea" w:hAnsi="Gudea"/>
                                <w:b/>
                                <w:bCs/>
                                <w:color w:val="FFFFFF" w:themeColor="background1"/>
                                <w:sz w:val="52"/>
                                <w:szCs w:val="48"/>
                              </w:rPr>
                              <w:t xml:space="preserve">edegørelse </w:t>
                            </w:r>
                            <w:r w:rsidR="00866B61" w:rsidRPr="007A2CF8">
                              <w:rPr>
                                <w:rFonts w:ascii="Gudea" w:hAnsi="Gudea"/>
                                <w:b/>
                                <w:bCs/>
                                <w:color w:val="FFFFFF" w:themeColor="background1"/>
                                <w:sz w:val="52"/>
                                <w:szCs w:val="48"/>
                              </w:rPr>
                              <w:t>for</w:t>
                            </w:r>
                            <w:r w:rsidR="00CE2C74" w:rsidRPr="007A2CF8">
                              <w:rPr>
                                <w:rFonts w:ascii="Gudea" w:hAnsi="Gudea"/>
                                <w:b/>
                                <w:bCs/>
                                <w:color w:val="FFFFFF" w:themeColor="background1"/>
                                <w:sz w:val="52"/>
                                <w:szCs w:val="48"/>
                              </w:rPr>
                              <w:t xml:space="preserve"> god fondsledelse, jf. årsregnskabslovens § 77 a</w:t>
                            </w:r>
                          </w:p>
                          <w:p w14:paraId="6E9CB96C" w14:textId="77777777" w:rsidR="001E26E4" w:rsidRPr="007A2CF8" w:rsidRDefault="001E26E4" w:rsidP="00CE2C74">
                            <w:pPr>
                              <w:rPr>
                                <w:rFonts w:ascii="Gudea" w:hAnsi="Gudea"/>
                                <w:color w:val="FFFFFF" w:themeColor="background1"/>
                                <w:sz w:val="56"/>
                                <w:szCs w:val="56"/>
                              </w:rPr>
                            </w:pPr>
                          </w:p>
                          <w:p w14:paraId="0028A951" w14:textId="261209EB" w:rsidR="00CE2C74" w:rsidRPr="007A2CF8" w:rsidRDefault="00CE2C74" w:rsidP="00CE2C74">
                            <w:pPr>
                              <w:jc w:val="center"/>
                              <w:rPr>
                                <w:rFonts w:ascii="Gudea" w:hAnsi="Gudea"/>
                                <w:i/>
                                <w:iCs/>
                                <w:color w:val="FFFFFF" w:themeColor="background1"/>
                                <w:sz w:val="82"/>
                                <w:szCs w:val="36"/>
                              </w:rPr>
                            </w:pPr>
                            <w:r w:rsidRPr="007A2CF8">
                              <w:rPr>
                                <w:rFonts w:ascii="Gudea" w:hAnsi="Gudea"/>
                                <w:i/>
                                <w:iCs/>
                                <w:color w:val="FFFFFF" w:themeColor="background1"/>
                                <w:sz w:val="82"/>
                                <w:szCs w:val="36"/>
                              </w:rPr>
                              <w:t>[</w:t>
                            </w:r>
                            <w:r w:rsidR="003D75B5" w:rsidRPr="007A2CF8">
                              <w:rPr>
                                <w:rFonts w:ascii="Gudea" w:hAnsi="Gudea"/>
                                <w:i/>
                                <w:iCs/>
                                <w:color w:val="FFFFFF" w:themeColor="background1"/>
                                <w:sz w:val="82"/>
                                <w:szCs w:val="36"/>
                              </w:rPr>
                              <w:t>Den erhvervsdrive</w:t>
                            </w:r>
                            <w:r w:rsidR="004242E0" w:rsidRPr="007A2CF8">
                              <w:rPr>
                                <w:rFonts w:ascii="Gudea" w:hAnsi="Gudea"/>
                                <w:i/>
                                <w:iCs/>
                                <w:color w:val="FFFFFF" w:themeColor="background1"/>
                                <w:sz w:val="82"/>
                                <w:szCs w:val="36"/>
                              </w:rPr>
                              <w:t>n</w:t>
                            </w:r>
                            <w:r w:rsidR="003D75B5" w:rsidRPr="007A2CF8">
                              <w:rPr>
                                <w:rFonts w:ascii="Gudea" w:hAnsi="Gudea"/>
                                <w:i/>
                                <w:iCs/>
                                <w:color w:val="FFFFFF" w:themeColor="background1"/>
                                <w:sz w:val="82"/>
                                <w:szCs w:val="36"/>
                              </w:rPr>
                              <w:t xml:space="preserve">de </w:t>
                            </w:r>
                            <w:r w:rsidR="004242E0" w:rsidRPr="007A2CF8">
                              <w:rPr>
                                <w:rFonts w:ascii="Gudea" w:hAnsi="Gudea"/>
                                <w:i/>
                                <w:iCs/>
                                <w:color w:val="FFFFFF" w:themeColor="background1"/>
                                <w:sz w:val="82"/>
                                <w:szCs w:val="36"/>
                              </w:rPr>
                              <w:t>f</w:t>
                            </w:r>
                            <w:r w:rsidRPr="007A2CF8">
                              <w:rPr>
                                <w:rFonts w:ascii="Gudea" w:hAnsi="Gudea"/>
                                <w:i/>
                                <w:iCs/>
                                <w:color w:val="FFFFFF" w:themeColor="background1"/>
                                <w:sz w:val="82"/>
                                <w:szCs w:val="36"/>
                              </w:rPr>
                              <w:t>onds navn]</w:t>
                            </w:r>
                          </w:p>
                          <w:p w14:paraId="64F59005" w14:textId="77777777" w:rsidR="00D15016" w:rsidRDefault="00D15016" w:rsidP="00AB64FF">
                            <w:pPr>
                              <w:jc w:val="center"/>
                              <w:rPr>
                                <w:rFonts w:ascii="Gudea" w:hAnsi="Gudea"/>
                                <w:color w:val="FFFFFF" w:themeColor="background1"/>
                                <w:sz w:val="26"/>
                                <w:szCs w:val="22"/>
                              </w:rPr>
                            </w:pPr>
                          </w:p>
                          <w:p w14:paraId="2D5E4A86" w14:textId="2EED6983" w:rsidR="00AB64FF" w:rsidRPr="005B1806" w:rsidRDefault="00AB64FF" w:rsidP="00AB64FF">
                            <w:pPr>
                              <w:jc w:val="center"/>
                              <w:rPr>
                                <w:rFonts w:ascii="Gudea" w:hAnsi="Gudea"/>
                                <w:b/>
                                <w:bCs/>
                                <w:i/>
                                <w:iCs/>
                                <w:color w:val="FFFFFF" w:themeColor="background1"/>
                                <w:sz w:val="32"/>
                                <w:szCs w:val="32"/>
                              </w:rPr>
                            </w:pPr>
                            <w:r w:rsidRPr="005B1806">
                              <w:rPr>
                                <w:rFonts w:ascii="Gudea" w:hAnsi="Gudea"/>
                                <w:b/>
                                <w:bCs/>
                                <w:i/>
                                <w:iCs/>
                                <w:color w:val="FFFFFF" w:themeColor="background1"/>
                                <w:sz w:val="32"/>
                                <w:szCs w:val="32"/>
                              </w:rPr>
                              <w:t>[fondens regnskabsperiode]</w:t>
                            </w:r>
                          </w:p>
                          <w:p w14:paraId="1C6C4070" w14:textId="77777777" w:rsidR="00AB64FF" w:rsidRDefault="00AB64FF" w:rsidP="00AB64FF">
                            <w:pPr>
                              <w:jc w:val="center"/>
                              <w:rPr>
                                <w:rFonts w:ascii="Gudea" w:hAnsi="Gudea"/>
                                <w:color w:val="FFFFFF" w:themeColor="background1"/>
                                <w:sz w:val="26"/>
                                <w:szCs w:val="22"/>
                              </w:rPr>
                            </w:pPr>
                          </w:p>
                          <w:p w14:paraId="05FA559B" w14:textId="77777777" w:rsidR="00AB64FF" w:rsidRDefault="00AB64FF" w:rsidP="00AB64FF">
                            <w:pPr>
                              <w:jc w:val="center"/>
                              <w:rPr>
                                <w:rFonts w:ascii="Gudea" w:hAnsi="Gudea"/>
                                <w:color w:val="FFFFFF" w:themeColor="background1"/>
                                <w:sz w:val="26"/>
                                <w:szCs w:val="22"/>
                              </w:rPr>
                            </w:pPr>
                          </w:p>
                          <w:p w14:paraId="32411784" w14:textId="77777777" w:rsidR="00AB64FF" w:rsidRDefault="00AB64FF" w:rsidP="00AB64FF">
                            <w:pPr>
                              <w:jc w:val="center"/>
                              <w:rPr>
                                <w:rFonts w:ascii="Gudea" w:hAnsi="Gudea"/>
                                <w:color w:val="FFFFFF" w:themeColor="background1"/>
                                <w:sz w:val="26"/>
                                <w:szCs w:val="22"/>
                              </w:rPr>
                            </w:pPr>
                          </w:p>
                          <w:p w14:paraId="3502C77F" w14:textId="77777777" w:rsidR="0070734C" w:rsidRDefault="0070734C" w:rsidP="00AB64FF">
                            <w:pPr>
                              <w:jc w:val="center"/>
                              <w:rPr>
                                <w:rFonts w:ascii="Gudea" w:hAnsi="Gudea"/>
                                <w:color w:val="FFFFFF" w:themeColor="background1"/>
                                <w:sz w:val="26"/>
                                <w:szCs w:val="22"/>
                              </w:rPr>
                            </w:pPr>
                          </w:p>
                          <w:p w14:paraId="55E1A904" w14:textId="77777777" w:rsidR="0070734C" w:rsidRDefault="0070734C" w:rsidP="00AB64FF">
                            <w:pPr>
                              <w:jc w:val="center"/>
                              <w:rPr>
                                <w:rFonts w:ascii="Gudea" w:hAnsi="Gudea"/>
                                <w:color w:val="FFFFFF" w:themeColor="background1"/>
                                <w:sz w:val="26"/>
                                <w:szCs w:val="22"/>
                              </w:rPr>
                            </w:pPr>
                          </w:p>
                          <w:p w14:paraId="114C7564" w14:textId="77777777" w:rsidR="0070734C" w:rsidRDefault="0070734C" w:rsidP="00AB64FF">
                            <w:pPr>
                              <w:jc w:val="center"/>
                              <w:rPr>
                                <w:rFonts w:ascii="Gudea" w:hAnsi="Gudea"/>
                                <w:color w:val="FFFFFF" w:themeColor="background1"/>
                                <w:sz w:val="26"/>
                                <w:szCs w:val="22"/>
                              </w:rPr>
                            </w:pPr>
                          </w:p>
                          <w:p w14:paraId="02D04438" w14:textId="42E04EF0" w:rsidR="007A2CF8" w:rsidRPr="007A2CF8" w:rsidRDefault="007A2CF8" w:rsidP="00AB64FF">
                            <w:pPr>
                              <w:jc w:val="center"/>
                              <w:rPr>
                                <w:rFonts w:ascii="Gudea" w:hAnsi="Gudea"/>
                                <w:color w:val="FFFFFF" w:themeColor="background1"/>
                                <w:sz w:val="26"/>
                                <w:szCs w:val="22"/>
                              </w:rPr>
                            </w:pPr>
                            <w:r w:rsidRPr="007A2CF8">
                              <w:rPr>
                                <w:rFonts w:ascii="Gudea" w:hAnsi="Gudea"/>
                                <w:color w:val="FFFFFF" w:themeColor="background1"/>
                                <w:sz w:val="26"/>
                                <w:szCs w:val="22"/>
                              </w:rPr>
                              <w:t>Redegørelsen udgør en bestanddel af ledelsesberetningen i fondens årsrapport</w:t>
                            </w:r>
                            <w:r w:rsidR="00AB64FF">
                              <w:rPr>
                                <w:rFonts w:ascii="Gudea" w:hAnsi="Gudea"/>
                                <w:color w:val="FFFFFF" w:themeColor="background1"/>
                                <w:sz w:val="26"/>
                                <w:szCs w:val="22"/>
                              </w:rPr>
                              <w:t>.</w:t>
                            </w:r>
                          </w:p>
                          <w:p w14:paraId="3FBD99DE" w14:textId="77777777" w:rsidR="007A2CF8" w:rsidRPr="007A2CF8" w:rsidRDefault="007A2CF8" w:rsidP="00CE2C74">
                            <w:pPr>
                              <w:jc w:val="center"/>
                              <w:rPr>
                                <w:rFonts w:ascii="Gudea" w:hAnsi="Gudea"/>
                                <w:i/>
                                <w:iCs/>
                                <w:color w:val="FFFFFF" w:themeColor="background1"/>
                                <w:sz w:val="82"/>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8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CjEAIAACEEAAAOAAAAZHJzL2Uyb0RvYy54bWysU9tu2zAMfR+wfxD0vthJnLQx4hRd0g4D&#10;ugvQ7QNkWY6FSaImKbG7rx8lp2nQvRXzg0Ca1BF5eLi+GbQiR+G8BFPR6SSnRBgOjTT7iv78cf/h&#10;mhIfmGmYAiMq+iQ8vdm8f7fubSlm0IFqhCMIYnzZ24p2IdgyyzzvhGZ+AlYYDLbgNAvoun3WONYj&#10;ulbZLM+XWQ+usQ648B7/7sYg3ST8thU8fGtbLwJRFcXaQjpdOut4Zps1K/eO2U7yUxnsDVVoJg0+&#10;eobascDIwcl/oLTkDjy0YcJBZ9C2kovUA3YzzV9189gxK1IvSI63Z5r8/4PlX4+P9rsjYfgIAw4w&#10;NeHtA/BfnhjYdszsxa1z0HeCNfjwNFKW9daXp6uRal/6CFL3X6DBIbNDgAQ0tE5HVrBPgug4gKcz&#10;6WIIhOPP1ayYL1cLSjjGisV8vsrTWDJWPl+3zodPAjSJRkUdTjXBs+ODD7EcVj6nxNc8KNncS6WS&#10;4/b1VjlyZFEBu2Ja3KUOXqUpQ/qKXi1RUyMFb8DQMqCWldQVvc7jN6orEndnmqS0wKQabaxZmROT&#10;kbyRxjDUAyZGRmtonpBTB6NmccfQ6MD9oaRHvVbU/z4wJyhRnw3OZTUtiijw5BSLqxk67jJSX0aY&#10;4QhV0UDJaG5DWorImIFbnF8rE7MvlZxqRR0mwk87E4V+6aesl83e/AUAAP//AwBQSwMEFAAGAAgA&#10;AAAhAAEdgM7eAAAACAEAAA8AAABkcnMvZG93bnJldi54bWxMj8FOwzAQRO9I/IO1SNyoQ6FJFOJU&#10;FRIIWglE4QOceEki4nXkddvk73FPcJyd1cybcj3ZQRzRc+9Iwe0iAYHUONNTq+Dr8+kmB8FBk9GD&#10;I1QwI8O6urwodWHciT7wuA+tiCHEhVbQhTAWUnLTodW8cCNS9L6dtzpE6VtpvD7FcDvIZZKk0uqe&#10;YkOnR3zssPnZH6yCbfLybObav+424X1abt94zmtW6vpq2jyACDiFv2c440d0qCJT7Q5kWAwK4pCg&#10;ILtLQZzd+9UqA1HHS56lIKtS/h9Q/QIAAP//AwBQSwECLQAUAAYACAAAACEAtoM4kv4AAADhAQAA&#10;EwAAAAAAAAAAAAAAAAAAAAAAW0NvbnRlbnRfVHlwZXNdLnhtbFBLAQItABQABgAIAAAAIQA4/SH/&#10;1gAAAJQBAAALAAAAAAAAAAAAAAAAAC8BAABfcmVscy8ucmVsc1BLAQItABQABgAIAAAAIQBWhdCj&#10;EAIAACEEAAAOAAAAAAAAAAAAAAAAAC4CAABkcnMvZTJvRG9jLnhtbFBLAQItABQABgAIAAAAIQAB&#10;HYDO3gAAAAgBAAAPAAAAAAAAAAAAAAAAAGoEAABkcnMvZG93bnJldi54bWxQSwUGAAAAAAQABADz&#10;AAAAdQUAAAAA&#10;" fillcolor="#0d414e" strokecolor="#0d414e" strokeweight="6pt">
                <v:textbox>
                  <w:txbxContent>
                    <w:p w14:paraId="39D460E0" w14:textId="77777777" w:rsidR="00CE2C74" w:rsidRPr="007A2CF8" w:rsidRDefault="00CE2C74" w:rsidP="00CE2C74">
                      <w:pPr>
                        <w:rPr>
                          <w:rFonts w:ascii="Gudea" w:hAnsi="Gudea"/>
                          <w:color w:val="FFFFFF" w:themeColor="background1"/>
                          <w:sz w:val="56"/>
                          <w:szCs w:val="56"/>
                        </w:rPr>
                      </w:pPr>
                    </w:p>
                    <w:p w14:paraId="49E0963E" w14:textId="77777777" w:rsidR="002D302D" w:rsidRPr="007A2CF8" w:rsidRDefault="002D302D" w:rsidP="00154553">
                      <w:pPr>
                        <w:jc w:val="center"/>
                        <w:rPr>
                          <w:rFonts w:ascii="Gudea" w:hAnsi="Gudea"/>
                          <w:b/>
                          <w:bCs/>
                          <w:color w:val="FFFFFF" w:themeColor="background1"/>
                          <w:sz w:val="52"/>
                          <w:szCs w:val="48"/>
                        </w:rPr>
                      </w:pPr>
                    </w:p>
                    <w:p w14:paraId="2B51DAEB" w14:textId="75CB18DE" w:rsidR="00CE2C74" w:rsidRPr="007A2CF8" w:rsidRDefault="002D302D" w:rsidP="00154553">
                      <w:pPr>
                        <w:jc w:val="center"/>
                        <w:rPr>
                          <w:rFonts w:ascii="Gudea" w:hAnsi="Gudea"/>
                          <w:b/>
                          <w:bCs/>
                          <w:color w:val="FFFFFF" w:themeColor="background1"/>
                          <w:sz w:val="52"/>
                          <w:szCs w:val="48"/>
                        </w:rPr>
                      </w:pPr>
                      <w:r>
                        <w:rPr>
                          <w:rFonts w:ascii="Gudea" w:hAnsi="Gudea"/>
                          <w:b/>
                          <w:bCs/>
                          <w:color w:val="FFFFFF" w:themeColor="background1"/>
                          <w:sz w:val="52"/>
                          <w:szCs w:val="48"/>
                        </w:rPr>
                        <w:t>R</w:t>
                      </w:r>
                      <w:r w:rsidR="00CE2C74" w:rsidRPr="007A2CF8">
                        <w:rPr>
                          <w:rFonts w:ascii="Gudea" w:hAnsi="Gudea"/>
                          <w:b/>
                          <w:bCs/>
                          <w:color w:val="FFFFFF" w:themeColor="background1"/>
                          <w:sz w:val="52"/>
                          <w:szCs w:val="48"/>
                        </w:rPr>
                        <w:t xml:space="preserve">edegørelse </w:t>
                      </w:r>
                      <w:r w:rsidR="00866B61" w:rsidRPr="007A2CF8">
                        <w:rPr>
                          <w:rFonts w:ascii="Gudea" w:hAnsi="Gudea"/>
                          <w:b/>
                          <w:bCs/>
                          <w:color w:val="FFFFFF" w:themeColor="background1"/>
                          <w:sz w:val="52"/>
                          <w:szCs w:val="48"/>
                        </w:rPr>
                        <w:t>for</w:t>
                      </w:r>
                      <w:r w:rsidR="00CE2C74" w:rsidRPr="007A2CF8">
                        <w:rPr>
                          <w:rFonts w:ascii="Gudea" w:hAnsi="Gudea"/>
                          <w:b/>
                          <w:bCs/>
                          <w:color w:val="FFFFFF" w:themeColor="background1"/>
                          <w:sz w:val="52"/>
                          <w:szCs w:val="48"/>
                        </w:rPr>
                        <w:t xml:space="preserve"> god fondsledelse, jf. årsregnskabslovens § 77 a</w:t>
                      </w:r>
                    </w:p>
                    <w:p w14:paraId="6E9CB96C" w14:textId="77777777" w:rsidR="001E26E4" w:rsidRPr="007A2CF8" w:rsidRDefault="001E26E4" w:rsidP="00CE2C74">
                      <w:pPr>
                        <w:rPr>
                          <w:rFonts w:ascii="Gudea" w:hAnsi="Gudea"/>
                          <w:color w:val="FFFFFF" w:themeColor="background1"/>
                          <w:sz w:val="56"/>
                          <w:szCs w:val="56"/>
                        </w:rPr>
                      </w:pPr>
                    </w:p>
                    <w:p w14:paraId="0028A951" w14:textId="261209EB" w:rsidR="00CE2C74" w:rsidRPr="007A2CF8" w:rsidRDefault="00CE2C74" w:rsidP="00CE2C74">
                      <w:pPr>
                        <w:jc w:val="center"/>
                        <w:rPr>
                          <w:rFonts w:ascii="Gudea" w:hAnsi="Gudea"/>
                          <w:i/>
                          <w:iCs/>
                          <w:color w:val="FFFFFF" w:themeColor="background1"/>
                          <w:sz w:val="82"/>
                          <w:szCs w:val="36"/>
                        </w:rPr>
                      </w:pPr>
                      <w:r w:rsidRPr="007A2CF8">
                        <w:rPr>
                          <w:rFonts w:ascii="Gudea" w:hAnsi="Gudea"/>
                          <w:i/>
                          <w:iCs/>
                          <w:color w:val="FFFFFF" w:themeColor="background1"/>
                          <w:sz w:val="82"/>
                          <w:szCs w:val="36"/>
                        </w:rPr>
                        <w:t>[</w:t>
                      </w:r>
                      <w:r w:rsidR="003D75B5" w:rsidRPr="007A2CF8">
                        <w:rPr>
                          <w:rFonts w:ascii="Gudea" w:hAnsi="Gudea"/>
                          <w:i/>
                          <w:iCs/>
                          <w:color w:val="FFFFFF" w:themeColor="background1"/>
                          <w:sz w:val="82"/>
                          <w:szCs w:val="36"/>
                        </w:rPr>
                        <w:t>Den erhvervsdrive</w:t>
                      </w:r>
                      <w:r w:rsidR="004242E0" w:rsidRPr="007A2CF8">
                        <w:rPr>
                          <w:rFonts w:ascii="Gudea" w:hAnsi="Gudea"/>
                          <w:i/>
                          <w:iCs/>
                          <w:color w:val="FFFFFF" w:themeColor="background1"/>
                          <w:sz w:val="82"/>
                          <w:szCs w:val="36"/>
                        </w:rPr>
                        <w:t>n</w:t>
                      </w:r>
                      <w:r w:rsidR="003D75B5" w:rsidRPr="007A2CF8">
                        <w:rPr>
                          <w:rFonts w:ascii="Gudea" w:hAnsi="Gudea"/>
                          <w:i/>
                          <w:iCs/>
                          <w:color w:val="FFFFFF" w:themeColor="background1"/>
                          <w:sz w:val="82"/>
                          <w:szCs w:val="36"/>
                        </w:rPr>
                        <w:t xml:space="preserve">de </w:t>
                      </w:r>
                      <w:r w:rsidR="004242E0" w:rsidRPr="007A2CF8">
                        <w:rPr>
                          <w:rFonts w:ascii="Gudea" w:hAnsi="Gudea"/>
                          <w:i/>
                          <w:iCs/>
                          <w:color w:val="FFFFFF" w:themeColor="background1"/>
                          <w:sz w:val="82"/>
                          <w:szCs w:val="36"/>
                        </w:rPr>
                        <w:t>f</w:t>
                      </w:r>
                      <w:r w:rsidRPr="007A2CF8">
                        <w:rPr>
                          <w:rFonts w:ascii="Gudea" w:hAnsi="Gudea"/>
                          <w:i/>
                          <w:iCs/>
                          <w:color w:val="FFFFFF" w:themeColor="background1"/>
                          <w:sz w:val="82"/>
                          <w:szCs w:val="36"/>
                        </w:rPr>
                        <w:t>onds navn]</w:t>
                      </w:r>
                    </w:p>
                    <w:p w14:paraId="64F59005" w14:textId="77777777" w:rsidR="00D15016" w:rsidRDefault="00D15016" w:rsidP="00AB64FF">
                      <w:pPr>
                        <w:jc w:val="center"/>
                        <w:rPr>
                          <w:rFonts w:ascii="Gudea" w:hAnsi="Gudea"/>
                          <w:color w:val="FFFFFF" w:themeColor="background1"/>
                          <w:sz w:val="26"/>
                          <w:szCs w:val="22"/>
                        </w:rPr>
                      </w:pPr>
                    </w:p>
                    <w:p w14:paraId="2D5E4A86" w14:textId="2EED6983" w:rsidR="00AB64FF" w:rsidRPr="005B1806" w:rsidRDefault="00AB64FF" w:rsidP="00AB64FF">
                      <w:pPr>
                        <w:jc w:val="center"/>
                        <w:rPr>
                          <w:rFonts w:ascii="Gudea" w:hAnsi="Gudea"/>
                          <w:b/>
                          <w:bCs/>
                          <w:i/>
                          <w:iCs/>
                          <w:color w:val="FFFFFF" w:themeColor="background1"/>
                          <w:sz w:val="32"/>
                          <w:szCs w:val="32"/>
                        </w:rPr>
                      </w:pPr>
                      <w:r w:rsidRPr="005B1806">
                        <w:rPr>
                          <w:rFonts w:ascii="Gudea" w:hAnsi="Gudea"/>
                          <w:b/>
                          <w:bCs/>
                          <w:i/>
                          <w:iCs/>
                          <w:color w:val="FFFFFF" w:themeColor="background1"/>
                          <w:sz w:val="32"/>
                          <w:szCs w:val="32"/>
                        </w:rPr>
                        <w:t>[fondens regnskabsperiode]</w:t>
                      </w:r>
                    </w:p>
                    <w:p w14:paraId="1C6C4070" w14:textId="77777777" w:rsidR="00AB64FF" w:rsidRDefault="00AB64FF" w:rsidP="00AB64FF">
                      <w:pPr>
                        <w:jc w:val="center"/>
                        <w:rPr>
                          <w:rFonts w:ascii="Gudea" w:hAnsi="Gudea"/>
                          <w:color w:val="FFFFFF" w:themeColor="background1"/>
                          <w:sz w:val="26"/>
                          <w:szCs w:val="22"/>
                        </w:rPr>
                      </w:pPr>
                    </w:p>
                    <w:p w14:paraId="05FA559B" w14:textId="77777777" w:rsidR="00AB64FF" w:rsidRDefault="00AB64FF" w:rsidP="00AB64FF">
                      <w:pPr>
                        <w:jc w:val="center"/>
                        <w:rPr>
                          <w:rFonts w:ascii="Gudea" w:hAnsi="Gudea"/>
                          <w:color w:val="FFFFFF" w:themeColor="background1"/>
                          <w:sz w:val="26"/>
                          <w:szCs w:val="22"/>
                        </w:rPr>
                      </w:pPr>
                    </w:p>
                    <w:p w14:paraId="32411784" w14:textId="77777777" w:rsidR="00AB64FF" w:rsidRDefault="00AB64FF" w:rsidP="00AB64FF">
                      <w:pPr>
                        <w:jc w:val="center"/>
                        <w:rPr>
                          <w:rFonts w:ascii="Gudea" w:hAnsi="Gudea"/>
                          <w:color w:val="FFFFFF" w:themeColor="background1"/>
                          <w:sz w:val="26"/>
                          <w:szCs w:val="22"/>
                        </w:rPr>
                      </w:pPr>
                    </w:p>
                    <w:p w14:paraId="3502C77F" w14:textId="77777777" w:rsidR="0070734C" w:rsidRDefault="0070734C" w:rsidP="00AB64FF">
                      <w:pPr>
                        <w:jc w:val="center"/>
                        <w:rPr>
                          <w:rFonts w:ascii="Gudea" w:hAnsi="Gudea"/>
                          <w:color w:val="FFFFFF" w:themeColor="background1"/>
                          <w:sz w:val="26"/>
                          <w:szCs w:val="22"/>
                        </w:rPr>
                      </w:pPr>
                    </w:p>
                    <w:p w14:paraId="55E1A904" w14:textId="77777777" w:rsidR="0070734C" w:rsidRDefault="0070734C" w:rsidP="00AB64FF">
                      <w:pPr>
                        <w:jc w:val="center"/>
                        <w:rPr>
                          <w:rFonts w:ascii="Gudea" w:hAnsi="Gudea"/>
                          <w:color w:val="FFFFFF" w:themeColor="background1"/>
                          <w:sz w:val="26"/>
                          <w:szCs w:val="22"/>
                        </w:rPr>
                      </w:pPr>
                    </w:p>
                    <w:p w14:paraId="114C7564" w14:textId="77777777" w:rsidR="0070734C" w:rsidRDefault="0070734C" w:rsidP="00AB64FF">
                      <w:pPr>
                        <w:jc w:val="center"/>
                        <w:rPr>
                          <w:rFonts w:ascii="Gudea" w:hAnsi="Gudea"/>
                          <w:color w:val="FFFFFF" w:themeColor="background1"/>
                          <w:sz w:val="26"/>
                          <w:szCs w:val="22"/>
                        </w:rPr>
                      </w:pPr>
                    </w:p>
                    <w:p w14:paraId="02D04438" w14:textId="42E04EF0" w:rsidR="007A2CF8" w:rsidRPr="007A2CF8" w:rsidRDefault="007A2CF8" w:rsidP="00AB64FF">
                      <w:pPr>
                        <w:jc w:val="center"/>
                        <w:rPr>
                          <w:rFonts w:ascii="Gudea" w:hAnsi="Gudea"/>
                          <w:color w:val="FFFFFF" w:themeColor="background1"/>
                          <w:sz w:val="26"/>
                          <w:szCs w:val="22"/>
                        </w:rPr>
                      </w:pPr>
                      <w:r w:rsidRPr="007A2CF8">
                        <w:rPr>
                          <w:rFonts w:ascii="Gudea" w:hAnsi="Gudea"/>
                          <w:color w:val="FFFFFF" w:themeColor="background1"/>
                          <w:sz w:val="26"/>
                          <w:szCs w:val="22"/>
                        </w:rPr>
                        <w:t>Redegørelsen udgør en bestanddel af ledelsesberetningen i fondens årsrapport</w:t>
                      </w:r>
                      <w:r w:rsidR="00AB64FF">
                        <w:rPr>
                          <w:rFonts w:ascii="Gudea" w:hAnsi="Gudea"/>
                          <w:color w:val="FFFFFF" w:themeColor="background1"/>
                          <w:sz w:val="26"/>
                          <w:szCs w:val="22"/>
                        </w:rPr>
                        <w:t>.</w:t>
                      </w:r>
                    </w:p>
                    <w:p w14:paraId="3FBD99DE" w14:textId="77777777" w:rsidR="007A2CF8" w:rsidRPr="007A2CF8" w:rsidRDefault="007A2CF8" w:rsidP="00CE2C74">
                      <w:pPr>
                        <w:jc w:val="center"/>
                        <w:rPr>
                          <w:rFonts w:ascii="Gudea" w:hAnsi="Gudea"/>
                          <w:i/>
                          <w:iCs/>
                          <w:color w:val="FFFFFF" w:themeColor="background1"/>
                          <w:sz w:val="82"/>
                          <w:szCs w:val="36"/>
                        </w:rPr>
                      </w:pPr>
                    </w:p>
                  </w:txbxContent>
                </v:textbox>
                <w10:wrap type="square" anchorx="margin"/>
              </v:shape>
            </w:pict>
          </mc:Fallback>
        </mc:AlternateContent>
      </w:r>
      <w:r w:rsidR="00CE2C74">
        <w:rPr>
          <w:rFonts w:ascii="Gudea" w:hAnsi="Gudea"/>
        </w:rPr>
        <w:tab/>
      </w:r>
    </w:p>
    <w:p w14:paraId="3B2FA706" w14:textId="794EBDBB"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B95F3F">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B95F3F">
      <w:pPr>
        <w:tabs>
          <w:tab w:val="left" w:pos="5220"/>
        </w:tabs>
        <w:jc w:val="both"/>
        <w:rPr>
          <w:rFonts w:ascii="Gudea" w:hAnsi="Gudea"/>
          <w:color w:val="0D414E"/>
          <w:sz w:val="26"/>
          <w:szCs w:val="24"/>
        </w:rPr>
      </w:pPr>
    </w:p>
    <w:p w14:paraId="42FD6235" w14:textId="77777777" w:rsidR="00BE27B0" w:rsidRPr="00063BD1" w:rsidRDefault="00BE27B0" w:rsidP="00B95F3F">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B95F3F">
      <w:pPr>
        <w:tabs>
          <w:tab w:val="left" w:pos="5220"/>
        </w:tabs>
        <w:jc w:val="both"/>
        <w:rPr>
          <w:rFonts w:ascii="Gudea" w:hAnsi="Gudea"/>
          <w:color w:val="0D414E"/>
          <w:sz w:val="26"/>
          <w:szCs w:val="24"/>
        </w:rPr>
      </w:pPr>
    </w:p>
    <w:p w14:paraId="69FD42CB" w14:textId="0B0F614A" w:rsidR="00BE27B0" w:rsidRPr="00063BD1" w:rsidRDefault="00BE27B0" w:rsidP="00B95F3F">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w:t>
      </w:r>
      <w:r w:rsidR="0072732B">
        <w:rPr>
          <w:rFonts w:ascii="Gudea" w:hAnsi="Gudea"/>
          <w:color w:val="0D414E"/>
          <w:sz w:val="26"/>
          <w:szCs w:val="24"/>
        </w:rPr>
        <w:t>n</w:t>
      </w:r>
      <w:r w:rsidRPr="00063BD1">
        <w:rPr>
          <w:rFonts w:ascii="Gudea" w:hAnsi="Gudea"/>
          <w:color w:val="0D414E"/>
          <w:sz w:val="26"/>
          <w:szCs w:val="24"/>
        </w:rPr>
        <w:t xml:space="preserv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B95F3F">
      <w:pPr>
        <w:tabs>
          <w:tab w:val="left" w:pos="5220"/>
        </w:tabs>
        <w:jc w:val="both"/>
        <w:rPr>
          <w:rFonts w:ascii="Gudea" w:hAnsi="Gudea"/>
          <w:color w:val="0D414E"/>
          <w:sz w:val="26"/>
          <w:szCs w:val="24"/>
        </w:rPr>
      </w:pPr>
    </w:p>
    <w:p w14:paraId="05E703B1" w14:textId="7FFB7D7B" w:rsidR="00BE27B0" w:rsidRPr="00063BD1" w:rsidRDefault="00BE27B0" w:rsidP="00B95F3F">
      <w:pPr>
        <w:autoSpaceDE w:val="0"/>
        <w:autoSpaceDN w:val="0"/>
        <w:adjustRightInd w:val="0"/>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w:t>
      </w:r>
      <w:r w:rsidR="00B95F3F" w:rsidRPr="00B95F3F">
        <w:rPr>
          <w:rFonts w:ascii="Gudea" w:hAnsi="Gudea"/>
          <w:color w:val="0D414E"/>
          <w:sz w:val="26"/>
          <w:szCs w:val="24"/>
        </w:rPr>
        <w:t>Med URL-adressen</w:t>
      </w:r>
      <w:r w:rsidR="00B95F3F">
        <w:rPr>
          <w:rFonts w:ascii="Gudea" w:hAnsi="Gudea"/>
          <w:color w:val="0D414E"/>
          <w:sz w:val="26"/>
          <w:szCs w:val="24"/>
        </w:rPr>
        <w:t xml:space="preserve"> </w:t>
      </w:r>
      <w:r w:rsidR="00B95F3F" w:rsidRPr="00B95F3F">
        <w:rPr>
          <w:rFonts w:ascii="Gudea" w:hAnsi="Gudea"/>
          <w:color w:val="0D414E"/>
          <w:sz w:val="26"/>
          <w:szCs w:val="24"/>
        </w:rPr>
        <w:t>menes den internetadresse, der skal benyttes for at komme direkte</w:t>
      </w:r>
      <w:r w:rsidR="00B95F3F">
        <w:rPr>
          <w:rFonts w:ascii="Gudea" w:hAnsi="Gudea"/>
          <w:color w:val="0D414E"/>
          <w:sz w:val="26"/>
          <w:szCs w:val="24"/>
        </w:rPr>
        <w:t xml:space="preserve"> </w:t>
      </w:r>
      <w:r w:rsidR="00B95F3F" w:rsidRPr="00B95F3F">
        <w:rPr>
          <w:rFonts w:ascii="Gudea" w:hAnsi="Gudea"/>
          <w:color w:val="0D414E"/>
          <w:sz w:val="26"/>
          <w:szCs w:val="24"/>
        </w:rPr>
        <w:t>til redegørelsen eller til den side, hvor samtlige offentliggjorte</w:t>
      </w:r>
      <w:r w:rsidR="00B95F3F">
        <w:rPr>
          <w:rFonts w:ascii="Gudea" w:hAnsi="Gudea"/>
          <w:color w:val="0D414E"/>
          <w:sz w:val="26"/>
          <w:szCs w:val="24"/>
        </w:rPr>
        <w:t xml:space="preserve"> </w:t>
      </w:r>
      <w:r w:rsidR="00B95F3F" w:rsidRPr="00B95F3F">
        <w:rPr>
          <w:rFonts w:ascii="Gudea" w:hAnsi="Gudea"/>
          <w:color w:val="0D414E"/>
          <w:sz w:val="26"/>
          <w:szCs w:val="24"/>
        </w:rPr>
        <w:t>redegørelser er tilgængelige.</w:t>
      </w:r>
    </w:p>
    <w:p w14:paraId="3581AA99" w14:textId="37DECA7B" w:rsidR="00BE27B0" w:rsidRPr="00063BD1" w:rsidRDefault="00BE27B0" w:rsidP="00B95F3F">
      <w:pPr>
        <w:tabs>
          <w:tab w:val="left" w:pos="5220"/>
        </w:tabs>
        <w:jc w:val="both"/>
        <w:rPr>
          <w:rFonts w:ascii="Gudea" w:hAnsi="Gudea"/>
          <w:color w:val="0D414E"/>
          <w:sz w:val="26"/>
          <w:szCs w:val="24"/>
        </w:rPr>
      </w:pPr>
    </w:p>
    <w:p w14:paraId="606731EE" w14:textId="09395CEA" w:rsidR="00CE2C74" w:rsidRDefault="00BE27B0" w:rsidP="00B95F3F">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B95F3F">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34BABCD0" w14:textId="77777777" w:rsidR="001C40CB" w:rsidRDefault="001C40CB" w:rsidP="00BE27B0">
      <w:pPr>
        <w:rPr>
          <w:rFonts w:ascii="Gudea" w:hAnsi="Gudea"/>
          <w:b/>
          <w:bCs/>
          <w:sz w:val="26"/>
          <w:szCs w:val="24"/>
        </w:rPr>
      </w:pPr>
    </w:p>
    <w:p w14:paraId="309E17D5" w14:textId="77777777" w:rsidR="006B2737" w:rsidRDefault="00BE27B0" w:rsidP="006B2737">
      <w:pPr>
        <w:jc w:val="both"/>
        <w:rPr>
          <w:rFonts w:ascii="Gudea" w:hAnsi="Gudea"/>
          <w:b/>
          <w:bCs/>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w:t>
      </w:r>
      <w:proofErr w:type="spellStart"/>
      <w:r w:rsidRPr="00063BD1">
        <w:rPr>
          <w:rFonts w:ascii="Gudea" w:hAnsi="Gudea"/>
          <w:color w:val="0D414E"/>
          <w:sz w:val="26"/>
          <w:szCs w:val="24"/>
        </w:rPr>
        <w:t>Fondsledelses</w:t>
      </w:r>
      <w:proofErr w:type="spellEnd"/>
      <w:r w:rsidRPr="00063BD1">
        <w:rPr>
          <w:rFonts w:ascii="Gudea" w:hAnsi="Gudea"/>
          <w:color w:val="0D414E"/>
          <w:sz w:val="26"/>
          <w:szCs w:val="24"/>
        </w:rPr>
        <w:t xml:space="preserve">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386F5FD9" w14:textId="77777777" w:rsidR="00692D1F" w:rsidRDefault="00692D1F" w:rsidP="006B2737">
      <w:pPr>
        <w:jc w:val="both"/>
        <w:rPr>
          <w:rFonts w:ascii="Gudea" w:hAnsi="Gudea"/>
          <w:color w:val="0D414E"/>
          <w:sz w:val="26"/>
          <w:szCs w:val="24"/>
        </w:rPr>
      </w:pPr>
    </w:p>
    <w:p w14:paraId="77B83C71" w14:textId="7A693188" w:rsidR="00762FF5" w:rsidRDefault="00401EF6" w:rsidP="006B2737">
      <w:pPr>
        <w:jc w:val="both"/>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7D6AC79"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xml:space="preserve">, at fonde, som er omfattet af </w:t>
      </w:r>
      <w:r w:rsidR="00436491">
        <w:rPr>
          <w:rFonts w:ascii="Gudea" w:hAnsi="Gudea"/>
          <w:color w:val="0D414E"/>
          <w:sz w:val="26"/>
          <w:szCs w:val="22"/>
        </w:rPr>
        <w:t>erhvervsfondsloven</w:t>
      </w:r>
      <w:r w:rsidR="009613A3" w:rsidRPr="00063BD1">
        <w:rPr>
          <w:rFonts w:ascii="Gudea" w:hAnsi="Gudea"/>
          <w:color w:val="0D414E"/>
          <w:sz w:val="26"/>
          <w:szCs w:val="22"/>
        </w:rPr>
        <w:t xml:space="preserve">, skal medtage bestyrelsens redegørelse for god fondsledelse, jf. </w:t>
      </w:r>
      <w:r w:rsidR="00436491">
        <w:rPr>
          <w:rFonts w:ascii="Gudea" w:hAnsi="Gudea"/>
          <w:color w:val="0D414E"/>
          <w:sz w:val="26"/>
          <w:szCs w:val="22"/>
        </w:rPr>
        <w:t>erhvervsfondsloven</w:t>
      </w:r>
      <w:r w:rsidR="00C9614B">
        <w:rPr>
          <w:rFonts w:ascii="Gudea" w:hAnsi="Gudea"/>
          <w:color w:val="0D414E"/>
          <w:sz w:val="26"/>
          <w:szCs w:val="22"/>
        </w:rPr>
        <w:t>s § 60</w:t>
      </w:r>
      <w:r w:rsidR="009613A3" w:rsidRPr="00063BD1">
        <w:rPr>
          <w:rFonts w:ascii="Gudea" w:hAnsi="Gudea"/>
          <w:color w:val="0D414E"/>
          <w:sz w:val="26"/>
          <w:szCs w:val="22"/>
        </w:rPr>
        <w:t>, i ledelsesberetningen eller i noterne.</w:t>
      </w:r>
    </w:p>
    <w:p w14:paraId="68112B82" w14:textId="106D3B2F" w:rsidR="00F75F8E" w:rsidRPr="00063BD1" w:rsidRDefault="00F75F8E" w:rsidP="00922161">
      <w:pPr>
        <w:jc w:val="both"/>
        <w:rPr>
          <w:rFonts w:ascii="Gudea" w:hAnsi="Gudea"/>
          <w:color w:val="0D414E"/>
          <w:sz w:val="26"/>
          <w:szCs w:val="22"/>
        </w:rPr>
      </w:pPr>
    </w:p>
    <w:p w14:paraId="57833F6E" w14:textId="6F6E6570" w:rsidR="00374833" w:rsidRDefault="00F75F8E" w:rsidP="00922161">
      <w:pPr>
        <w:jc w:val="both"/>
        <w:rPr>
          <w:rFonts w:ascii="Gudea" w:hAnsi="Gudea"/>
          <w:color w:val="0D414E"/>
          <w:sz w:val="26"/>
          <w:szCs w:val="22"/>
        </w:rPr>
      </w:pPr>
      <w:r w:rsidRPr="00063BD1">
        <w:rPr>
          <w:rFonts w:ascii="Gudea" w:hAnsi="Gudea"/>
          <w:color w:val="0D414E"/>
          <w:sz w:val="26"/>
          <w:szCs w:val="22"/>
        </w:rPr>
        <w:t xml:space="preserve">Efter </w:t>
      </w:r>
      <w:r w:rsidR="00C9614B">
        <w:rPr>
          <w:rFonts w:ascii="Gudea" w:hAnsi="Gudea"/>
          <w:color w:val="0D414E"/>
          <w:sz w:val="26"/>
          <w:szCs w:val="22"/>
        </w:rPr>
        <w:t xml:space="preserve">erhvervsfondslovens § 60 </w:t>
      </w:r>
      <w:r w:rsidR="00EC6123" w:rsidRPr="00063BD1">
        <w:rPr>
          <w:rFonts w:ascii="Gudea" w:hAnsi="Gudea"/>
          <w:color w:val="0D414E"/>
          <w:sz w:val="26"/>
          <w:szCs w:val="22"/>
        </w:rPr>
        <w:t>skal bestyrelse</w:t>
      </w:r>
      <w:r w:rsidR="00C928F4">
        <w:rPr>
          <w:rFonts w:ascii="Gudea" w:hAnsi="Gudea"/>
          <w:color w:val="0D414E"/>
          <w:sz w:val="26"/>
          <w:szCs w:val="22"/>
        </w:rPr>
        <w:t>n</w:t>
      </w:r>
      <w:r w:rsidR="00EC6123" w:rsidRPr="00063BD1">
        <w:rPr>
          <w:rFonts w:ascii="Gudea" w:hAnsi="Gudea"/>
          <w:color w:val="0D414E"/>
          <w:sz w:val="26"/>
          <w:szCs w:val="22"/>
        </w:rPr>
        <w:t xml:space="preserve"> redegøre</w:t>
      </w:r>
      <w:r w:rsidR="00C928F4">
        <w:rPr>
          <w:rFonts w:ascii="Gudea" w:hAnsi="Gudea"/>
          <w:color w:val="0D414E"/>
          <w:sz w:val="26"/>
          <w:szCs w:val="22"/>
        </w:rPr>
        <w:t xml:space="preserve"> for</w:t>
      </w:r>
      <w:r w:rsidR="00EC6123" w:rsidRPr="00063BD1">
        <w:rPr>
          <w:rFonts w:ascii="Gudea" w:hAnsi="Gudea"/>
          <w:color w:val="0D414E"/>
          <w:sz w:val="26"/>
          <w:szCs w:val="22"/>
        </w:rPr>
        <w:t>, hvor</w:t>
      </w:r>
      <w:r w:rsidR="00D97936">
        <w:rPr>
          <w:rFonts w:ascii="Gudea" w:hAnsi="Gudea"/>
          <w:color w:val="0D414E"/>
          <w:sz w:val="26"/>
          <w:szCs w:val="22"/>
        </w:rPr>
        <w:t>ledes</w:t>
      </w:r>
      <w:r w:rsidR="00EC6123" w:rsidRPr="00063BD1">
        <w:rPr>
          <w:rFonts w:ascii="Gudea" w:hAnsi="Gudea"/>
          <w:color w:val="0D414E"/>
          <w:sz w:val="26"/>
          <w:szCs w:val="22"/>
        </w:rPr>
        <w:t xml:space="preserve"> </w:t>
      </w:r>
      <w:r w:rsidR="00641F0D">
        <w:rPr>
          <w:rFonts w:ascii="Gudea" w:hAnsi="Gudea"/>
          <w:color w:val="0D414E"/>
          <w:sz w:val="26"/>
          <w:szCs w:val="22"/>
        </w:rPr>
        <w:t>de</w:t>
      </w:r>
      <w:r w:rsidR="00EC6123" w:rsidRPr="00063BD1">
        <w:rPr>
          <w:rFonts w:ascii="Gudea" w:hAnsi="Gudea"/>
          <w:color w:val="0D414E"/>
          <w:sz w:val="26"/>
          <w:szCs w:val="22"/>
        </w:rPr>
        <w:t xml:space="preserve">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w:t>
      </w:r>
      <w:r w:rsidR="00374833">
        <w:rPr>
          <w:rFonts w:ascii="Gudea" w:hAnsi="Gudea"/>
          <w:color w:val="0D414E"/>
          <w:sz w:val="26"/>
          <w:szCs w:val="22"/>
        </w:rPr>
        <w:t xml:space="preserve"> skal i sin redegørelse oplyse, om fonde</w:t>
      </w:r>
      <w:r w:rsidR="00CE0087">
        <w:rPr>
          <w:rFonts w:ascii="Gudea" w:hAnsi="Gudea"/>
          <w:color w:val="0D414E"/>
          <w:sz w:val="26"/>
          <w:szCs w:val="22"/>
        </w:rPr>
        <w:t>n følger de enkelte anbefalinger, eller om den fraviger en eller flere anbefalinger</w:t>
      </w:r>
      <w:r w:rsidR="00E65D24">
        <w:rPr>
          <w:rFonts w:ascii="Gudea" w:hAnsi="Gudea"/>
          <w:color w:val="0D414E"/>
          <w:sz w:val="26"/>
          <w:szCs w:val="22"/>
        </w:rPr>
        <w:t xml:space="preserve"> og i givet fald hvilke. Hvis bestyrelsen fraviger en anbefaling</w:t>
      </w:r>
      <w:r w:rsidR="007A25ED">
        <w:rPr>
          <w:rFonts w:ascii="Gudea" w:hAnsi="Gudea"/>
          <w:color w:val="0D414E"/>
          <w:sz w:val="26"/>
          <w:szCs w:val="22"/>
        </w:rPr>
        <w:t xml:space="preserve">, skal bestyrelsen redegøre for grundene hertil og for, </w:t>
      </w:r>
      <w:r w:rsidR="006159A8">
        <w:rPr>
          <w:rFonts w:ascii="Gudea" w:hAnsi="Gudea"/>
          <w:color w:val="0D414E"/>
          <w:sz w:val="26"/>
          <w:szCs w:val="22"/>
        </w:rPr>
        <w:t>hvordan man i stedet har indrettet sig.</w:t>
      </w:r>
    </w:p>
    <w:p w14:paraId="11062D6A" w14:textId="20DC5B01" w:rsidR="00C31BF1" w:rsidRPr="00063BD1" w:rsidRDefault="00C31BF1" w:rsidP="00922161">
      <w:pPr>
        <w:jc w:val="both"/>
        <w:rPr>
          <w:rFonts w:ascii="Gudea" w:hAnsi="Gudea"/>
          <w:color w:val="0D414E"/>
          <w:sz w:val="26"/>
          <w:szCs w:val="22"/>
        </w:rPr>
      </w:pPr>
    </w:p>
    <w:p w14:paraId="4517B4F3" w14:textId="77777777" w:rsidR="00453383" w:rsidRDefault="00453383" w:rsidP="00453383">
      <w:pPr>
        <w:jc w:val="both"/>
        <w:rPr>
          <w:rFonts w:ascii="Gudea" w:hAnsi="Gudea"/>
          <w:color w:val="0D414E"/>
          <w:sz w:val="26"/>
          <w:szCs w:val="22"/>
        </w:rPr>
      </w:pPr>
      <w:r w:rsidRPr="00453383">
        <w:rPr>
          <w:rFonts w:ascii="Gudea" w:hAnsi="Gudea"/>
          <w:color w:val="0D414E"/>
          <w:sz w:val="26"/>
          <w:szCs w:val="22"/>
        </w:rPr>
        <w:t xml:space="preserve">Følger fonden ikke en anbefaling, er det ikke et regelbrud, men udtryk for, at bestyrelsen konkret, og af grunde den har redegjort for, har valgt at indrette sig på en anden måde end den, der fremgår af anbefalingen. </w:t>
      </w:r>
    </w:p>
    <w:p w14:paraId="24263ADE" w14:textId="77777777" w:rsidR="00A335CD" w:rsidRDefault="00A335CD" w:rsidP="00453383">
      <w:pPr>
        <w:jc w:val="both"/>
        <w:rPr>
          <w:rFonts w:ascii="Gudea" w:hAnsi="Gudea"/>
          <w:color w:val="0D414E"/>
          <w:sz w:val="26"/>
          <w:szCs w:val="22"/>
        </w:rPr>
      </w:pPr>
    </w:p>
    <w:p w14:paraId="2F64540C" w14:textId="500A80C9" w:rsidR="00A335CD" w:rsidRPr="00A335CD" w:rsidRDefault="00A335CD" w:rsidP="00A335CD">
      <w:pPr>
        <w:jc w:val="both"/>
        <w:rPr>
          <w:rFonts w:ascii="Gudea" w:hAnsi="Gudea"/>
          <w:color w:val="0D414E"/>
          <w:sz w:val="26"/>
          <w:szCs w:val="22"/>
        </w:rPr>
      </w:pPr>
      <w:r w:rsidRPr="00A335CD">
        <w:rPr>
          <w:rFonts w:ascii="Gudea" w:hAnsi="Gudea"/>
          <w:color w:val="0D414E"/>
          <w:sz w:val="26"/>
          <w:szCs w:val="22"/>
        </w:rPr>
        <w:t>Efterlevelse omfatter både fonde, der angiver, at de følger en given anbefaling, og fonde, der har valgt at indrette sig på en anden måde og giver en fyldestgørende forklaring herfor.</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5BE381CB"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p>
    <w:p w14:paraId="22531519" w14:textId="77777777" w:rsidR="00BA6DA9" w:rsidRPr="00BA6DA9" w:rsidRDefault="00BA6DA9" w:rsidP="00762FF5">
      <w:pPr>
        <w:rPr>
          <w:rFonts w:ascii="Gudea" w:hAnsi="Gudea"/>
          <w:sz w:val="18"/>
          <w:szCs w:val="14"/>
        </w:rPr>
      </w:pPr>
    </w:p>
    <w:p w14:paraId="7F1F9B31" w14:textId="77777777" w:rsidR="006B2737" w:rsidRDefault="006B2737">
      <w:pPr>
        <w:rPr>
          <w:rFonts w:ascii="Gudea" w:hAnsi="Gudea"/>
          <w:b/>
          <w:bCs/>
          <w:color w:val="0D414E"/>
          <w:sz w:val="30"/>
          <w:szCs w:val="28"/>
        </w:rPr>
      </w:pPr>
    </w:p>
    <w:p w14:paraId="2AC679AF" w14:textId="77777777" w:rsidR="00903CFD" w:rsidRDefault="00903CFD" w:rsidP="007F6C52">
      <w:pPr>
        <w:rPr>
          <w:rFonts w:ascii="Gudea" w:hAnsi="Gudea"/>
          <w:b/>
          <w:bCs/>
          <w:color w:val="0D414E"/>
          <w:sz w:val="30"/>
          <w:szCs w:val="28"/>
        </w:rPr>
      </w:pPr>
    </w:p>
    <w:p w14:paraId="2881653C" w14:textId="77777777" w:rsidR="00903CFD" w:rsidRDefault="00903CFD" w:rsidP="007F6C52">
      <w:pPr>
        <w:rPr>
          <w:rFonts w:ascii="Gudea" w:hAnsi="Gudea"/>
          <w:b/>
          <w:bCs/>
          <w:color w:val="0D414E"/>
          <w:sz w:val="30"/>
          <w:szCs w:val="28"/>
        </w:rPr>
      </w:pPr>
    </w:p>
    <w:p w14:paraId="5D53477A" w14:textId="77777777" w:rsidR="00903CFD" w:rsidRDefault="00903CFD" w:rsidP="007F6C52">
      <w:pPr>
        <w:rPr>
          <w:rFonts w:ascii="Gudea" w:hAnsi="Gudea"/>
          <w:b/>
          <w:bCs/>
          <w:color w:val="0D414E"/>
          <w:sz w:val="30"/>
          <w:szCs w:val="28"/>
        </w:rPr>
      </w:pPr>
    </w:p>
    <w:p w14:paraId="4F924BB0" w14:textId="77777777" w:rsidR="00903CFD" w:rsidRDefault="00903CFD" w:rsidP="007F6C52">
      <w:pPr>
        <w:rPr>
          <w:rFonts w:ascii="Gudea" w:hAnsi="Gudea"/>
          <w:b/>
          <w:bCs/>
          <w:color w:val="0D414E"/>
          <w:sz w:val="30"/>
          <w:szCs w:val="28"/>
        </w:rPr>
      </w:pPr>
    </w:p>
    <w:p w14:paraId="39C34B7C" w14:textId="77777777" w:rsidR="00903CFD" w:rsidRDefault="00903CFD" w:rsidP="007F6C52">
      <w:pPr>
        <w:rPr>
          <w:rFonts w:ascii="Gudea" w:hAnsi="Gudea"/>
          <w:b/>
          <w:bCs/>
          <w:color w:val="0D414E"/>
          <w:sz w:val="30"/>
          <w:szCs w:val="28"/>
        </w:rPr>
      </w:pPr>
    </w:p>
    <w:p w14:paraId="1CF07728" w14:textId="77777777" w:rsidR="00903CFD" w:rsidRDefault="00903CFD" w:rsidP="007F6C52">
      <w:pPr>
        <w:rPr>
          <w:rFonts w:ascii="Gudea" w:hAnsi="Gudea"/>
          <w:b/>
          <w:bCs/>
          <w:color w:val="0D414E"/>
          <w:sz w:val="30"/>
          <w:szCs w:val="28"/>
        </w:rPr>
      </w:pPr>
    </w:p>
    <w:p w14:paraId="4FB5C02B" w14:textId="1433A93E"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w:t>
      </w:r>
      <w:proofErr w:type="spellStart"/>
      <w:r w:rsidRPr="00A66696">
        <w:rPr>
          <w:rFonts w:ascii="Gudea" w:hAnsi="Gudea"/>
          <w:color w:val="0D414E"/>
          <w:sz w:val="26"/>
          <w:szCs w:val="22"/>
        </w:rPr>
        <w:t>Fondsledelses</w:t>
      </w:r>
      <w:proofErr w:type="spellEnd"/>
      <w:r w:rsidRPr="00A66696">
        <w:rPr>
          <w:rFonts w:ascii="Gudea" w:hAnsi="Gudea"/>
          <w:color w:val="0D414E"/>
          <w:sz w:val="26"/>
          <w:szCs w:val="22"/>
        </w:rPr>
        <w:t xml:space="preserve">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el-Gitter"/>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dnotehenvisning"/>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789E6293" w14:textId="7C4182BE" w:rsidR="00C21039" w:rsidRPr="00C21039" w:rsidRDefault="00C21039" w:rsidP="0027461E">
            <w:pPr>
              <w:jc w:val="both"/>
              <w:rPr>
                <w:rFonts w:ascii="Gudea" w:hAnsi="Gudea"/>
                <w:sz w:val="20"/>
              </w:rPr>
            </w:pP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w:t>
            </w:r>
            <w:r w:rsidRPr="00744CAC">
              <w:rPr>
                <w:rFonts w:ascii="Gudea" w:hAnsi="Gudea"/>
                <w:color w:val="0D414E"/>
                <w:sz w:val="26"/>
                <w:szCs w:val="28"/>
              </w:rPr>
              <w:lastRenderedPageBreak/>
              <w:t xml:space="preserve">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06697DEB" w14:textId="77777777"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44F94494" w14:textId="77777777" w:rsidR="004718B5" w:rsidRPr="00C21039" w:rsidRDefault="004718B5" w:rsidP="0027461E">
            <w:pPr>
              <w:jc w:val="both"/>
              <w:rPr>
                <w:rFonts w:ascii="Gudea" w:hAnsi="Gudea"/>
                <w:sz w:val="20"/>
              </w:rPr>
            </w:pP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20E9FEB0" w14:textId="77777777"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0C5FF69C" w14:textId="7A7232F1"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sidRPr="00606356">
              <w:rPr>
                <w:rFonts w:ascii="Gudea" w:hAnsi="Gudea"/>
                <w:b/>
                <w:color w:val="0D414E"/>
                <w:sz w:val="26"/>
                <w:szCs w:val="24"/>
              </w:rPr>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1844" w:type="dxa"/>
          </w:tcPr>
          <w:p w14:paraId="6F3E2532" w14:textId="77777777"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3E25E7F3"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4F40279F"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udvælgelse og indstilling af kandidater til bestyrelsen. </w:t>
            </w:r>
          </w:p>
        </w:tc>
        <w:tc>
          <w:tcPr>
            <w:tcW w:w="1844" w:type="dxa"/>
          </w:tcPr>
          <w:p w14:paraId="529E9729" w14:textId="1C3ED688"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2919E307"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2742EE"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563BB567" w14:textId="6732D247" w:rsidR="000B3878" w:rsidRPr="008A7A86" w:rsidRDefault="00070C75" w:rsidP="00E26E0A">
            <w:pPr>
              <w:spacing w:line="276" w:lineRule="auto"/>
              <w:jc w:val="both"/>
              <w:rPr>
                <w:rFonts w:ascii="Gudea" w:hAnsi="Gudea"/>
                <w:color w:val="0D414E"/>
                <w:szCs w:val="24"/>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p w14:paraId="007206F1" w14:textId="77777777" w:rsidR="000B3878" w:rsidRPr="00C21039" w:rsidRDefault="000B3878" w:rsidP="0027461E">
            <w:pPr>
              <w:jc w:val="both"/>
              <w:rPr>
                <w:rFonts w:ascii="Gudea" w:hAnsi="Gudea"/>
                <w:sz w:val="20"/>
              </w:rPr>
            </w:pPr>
          </w:p>
        </w:tc>
        <w:tc>
          <w:tcPr>
            <w:tcW w:w="1844" w:type="dxa"/>
            <w:tcBorders>
              <w:bottom w:val="single" w:sz="4" w:space="0" w:color="auto"/>
            </w:tcBorders>
          </w:tcPr>
          <w:p w14:paraId="31810074" w14:textId="22EB6085"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3CFB1EC2" w14:textId="77777777"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08D7DBCC"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851F80">
        <w:trPr>
          <w:trHeight w:val="3148"/>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393A435B" w14:textId="77777777" w:rsidR="00AD795D" w:rsidRPr="00AD795D" w:rsidRDefault="00AD795D" w:rsidP="00AD795D">
            <w:pPr>
              <w:rPr>
                <w:lang w:eastAsia="en-US"/>
              </w:rPr>
            </w:pPr>
          </w:p>
          <w:p w14:paraId="202A7D5B" w14:textId="77777777" w:rsidR="00851F80" w:rsidRPr="008A7A86" w:rsidRDefault="00851F80" w:rsidP="00AD795D">
            <w:pPr>
              <w:pStyle w:val="Brdtekst"/>
              <w:numPr>
                <w:ilvl w:val="0"/>
                <w:numId w:val="8"/>
              </w:numPr>
              <w:spacing w:before="240" w:line="276" w:lineRule="auto"/>
              <w:ind w:left="530"/>
              <w:rPr>
                <w:rFonts w:ascii="Gudea" w:hAnsi="Gudea"/>
                <w:color w:val="0D414E"/>
                <w:sz w:val="26"/>
                <w:szCs w:val="22"/>
                <w:lang w:val="da-DK"/>
              </w:rPr>
            </w:pPr>
            <w:r w:rsidRPr="008A7A86">
              <w:rPr>
                <w:rFonts w:ascii="Gudea" w:hAnsi="Gudea"/>
                <w:color w:val="0D414E"/>
                <w:sz w:val="26"/>
                <w:szCs w:val="22"/>
              </w:rPr>
              <w:lastRenderedPageBreak/>
              <w:t>medlemmets eventuelle særlige kompetencer,</w:t>
            </w:r>
          </w:p>
          <w:p w14:paraId="1917CF7F"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øvrige ledelseshverv, herunder poster i direktioner, bestyrelser og tilsynsråd, inklusive ledelsesudvalg, i danske og udenlandske fonde, virksomheder, institutioner samt krævende organisationsopgaver,</w:t>
            </w:r>
          </w:p>
          <w:p w14:paraId="418000E5"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 xml:space="preserve">hvilke medlemmer, der er udpeget af myndigheder/tilskudsyder m.v., og </w:t>
            </w:r>
          </w:p>
          <w:p w14:paraId="080E8035" w14:textId="77777777" w:rsidR="00251BB5"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389AC561" w14:textId="77777777" w:rsidR="00AD795D" w:rsidRPr="00AD795D" w:rsidRDefault="00AD795D" w:rsidP="00AD795D">
            <w:pPr>
              <w:rPr>
                <w:lang w:eastAsia="en-US"/>
              </w:rPr>
            </w:pP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3FED54ED" w14:textId="77777777" w:rsidR="005C5818" w:rsidRPr="00C21039" w:rsidRDefault="005C5818" w:rsidP="0027461E">
            <w:pPr>
              <w:jc w:val="both"/>
              <w:rPr>
                <w:rFonts w:ascii="Gudea" w:hAnsi="Gudea"/>
                <w:sz w:val="20"/>
              </w:rPr>
            </w:pP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2A339A">
        <w:trPr>
          <w:trHeight w:val="2412"/>
        </w:trPr>
        <w:tc>
          <w:tcPr>
            <w:tcW w:w="6232" w:type="dxa"/>
          </w:tcPr>
          <w:p w14:paraId="41D60450" w14:textId="77777777" w:rsidR="00610B5D" w:rsidRPr="00610B5D" w:rsidRDefault="00610B5D" w:rsidP="00C13078">
            <w:pPr>
              <w:pStyle w:val="Brdtekst"/>
              <w:spacing w:line="276" w:lineRule="auto"/>
              <w:rPr>
                <w:rFonts w:ascii="Gudea" w:hAnsi="Gudea"/>
                <w:b/>
                <w:bCs/>
                <w:color w:val="0D414E"/>
                <w:sz w:val="8"/>
                <w:szCs w:val="4"/>
                <w:lang w:val="da-DK"/>
              </w:rPr>
            </w:pPr>
          </w:p>
          <w:p w14:paraId="51C50C37" w14:textId="77777777" w:rsidR="00484BEC" w:rsidRDefault="00C13078" w:rsidP="00C13078">
            <w:pPr>
              <w:pStyle w:val="Brdtekst"/>
              <w:spacing w:line="276" w:lineRule="auto"/>
              <w:rPr>
                <w:rFonts w:ascii="Gudea" w:hAnsi="Gudea"/>
                <w:color w:val="0D414E"/>
                <w:sz w:val="26"/>
                <w:szCs w:val="22"/>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p w14:paraId="15B2ECE7" w14:textId="0B36D639" w:rsidR="00AD795D" w:rsidRPr="00AD795D" w:rsidRDefault="00AD795D" w:rsidP="00AD795D">
            <w:pPr>
              <w:rPr>
                <w:lang w:eastAsia="en-US"/>
              </w:rPr>
            </w:pPr>
          </w:p>
        </w:tc>
        <w:tc>
          <w:tcPr>
            <w:tcW w:w="1844" w:type="dxa"/>
            <w:tcBorders>
              <w:bottom w:val="single" w:sz="4" w:space="0" w:color="auto"/>
            </w:tcBorders>
          </w:tcPr>
          <w:p w14:paraId="0C371856" w14:textId="77777777" w:rsidR="00484BEC" w:rsidRPr="00C21039" w:rsidRDefault="00484BEC" w:rsidP="0027461E">
            <w:pPr>
              <w:jc w:val="both"/>
              <w:rPr>
                <w:rFonts w:ascii="Gudea" w:hAnsi="Gudea"/>
                <w:sz w:val="20"/>
              </w:rPr>
            </w:pP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sidRPr="00606356">
              <w:rPr>
                <w:rFonts w:ascii="Gudea" w:hAnsi="Gudea"/>
                <w:b/>
                <w:color w:val="0D414E"/>
                <w:sz w:val="26"/>
                <w:szCs w:val="24"/>
              </w:rPr>
              <w:lastRenderedPageBreak/>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inden for de seneste fem år har modtaget større vederlag, herunder uddelinger eller andre ydelser, fra fonden/koncernen eller en dattervirksomhed eller associeret virksomhed til fonden i anden egenskab end som medlem af fondens bestyrelse eller direktion,</w:t>
            </w:r>
          </w:p>
          <w:p w14:paraId="1E12620C"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02015CF2" w14:textId="3CE054A0" w:rsidR="00417F1B" w:rsidRPr="00F3422E" w:rsidRDefault="005B2433" w:rsidP="00F3422E">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433577F3" w14:textId="77777777" w:rsidR="005B2433"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i nær familie med eller på en anden måde står personer, som ikke betragtes som uafhængige, særligt nær,</w:t>
            </w:r>
          </w:p>
          <w:p w14:paraId="796418F1" w14:textId="77777777" w:rsidR="00F3422E" w:rsidRPr="008A7A86" w:rsidRDefault="00F3422E" w:rsidP="00F3422E">
            <w:pPr>
              <w:pStyle w:val="Listeafsnit"/>
              <w:spacing w:line="276" w:lineRule="auto"/>
              <w:ind w:left="530"/>
              <w:jc w:val="both"/>
              <w:rPr>
                <w:rFonts w:ascii="Gudea" w:hAnsi="Gudea"/>
                <w:color w:val="0D414E"/>
                <w:sz w:val="26"/>
                <w:szCs w:val="26"/>
              </w:rPr>
            </w:pPr>
          </w:p>
          <w:p w14:paraId="6C47C00C" w14:textId="77777777" w:rsidR="007427DA"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stifter eller væsentlig gavegiver, hvis fonden har til formål at yde støtte til disses familie eller andre, som står disse særligt nær, eller</w:t>
            </w:r>
          </w:p>
          <w:p w14:paraId="6FA2F031" w14:textId="39682B09" w:rsidR="005B2433" w:rsidRPr="007427DA" w:rsidRDefault="005B2433" w:rsidP="005B2433">
            <w:pPr>
              <w:pStyle w:val="Listeafsnit"/>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er ledelsesmedlem i en organisation, en anden fond eller lignende, der modtaget eller gentagne gange inden for de seneste fem år har modtaget væsentlige donationer fra fonden.</w:t>
            </w:r>
            <w:r w:rsidRPr="00A2085B">
              <w:rPr>
                <w:rFonts w:ascii="Gudea" w:hAnsi="Gudea"/>
                <w:color w:val="0D414E"/>
                <w:sz w:val="22"/>
                <w:szCs w:val="22"/>
              </w:rPr>
              <w:t xml:space="preserve"> </w:t>
            </w:r>
          </w:p>
        </w:tc>
        <w:tc>
          <w:tcPr>
            <w:tcW w:w="1844" w:type="dxa"/>
          </w:tcPr>
          <w:p w14:paraId="58E576D8" w14:textId="77777777"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760D1DC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03D1970"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24448462" w14:textId="628502A1" w:rsidR="005B2433" w:rsidRPr="00E2045B" w:rsidRDefault="005B2433" w:rsidP="00E2045B">
            <w:pPr>
              <w:spacing w:line="276" w:lineRule="auto"/>
              <w:jc w:val="both"/>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1844" w:type="dxa"/>
          </w:tcPr>
          <w:p w14:paraId="7397695B" w14:textId="74AB029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12B1CC63"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9FA9D0C"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5012A819" w14:textId="7D408BA8" w:rsidR="008E0DB4" w:rsidRPr="00C21039" w:rsidRDefault="005B2433" w:rsidP="005B2433">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1844" w:type="dxa"/>
            <w:tcBorders>
              <w:bottom w:val="single" w:sz="4" w:space="0" w:color="auto"/>
            </w:tcBorders>
          </w:tcPr>
          <w:p w14:paraId="76C79D9F" w14:textId="3528B23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62F6D518" w14:textId="383E9FAE" w:rsidR="005B2433" w:rsidRPr="00C21039" w:rsidRDefault="005B2433" w:rsidP="005B2433">
            <w:pPr>
              <w:jc w:val="both"/>
              <w:rPr>
                <w:rFonts w:ascii="Gudea" w:hAnsi="Gudea"/>
                <w:sz w:val="20"/>
              </w:rPr>
            </w:pPr>
          </w:p>
        </w:tc>
        <w:tc>
          <w:tcPr>
            <w:tcW w:w="2268" w:type="dxa"/>
            <w:tcBorders>
              <w:left w:val="single" w:sz="4" w:space="0" w:color="auto"/>
              <w:bottom w:val="single" w:sz="4" w:space="0" w:color="auto"/>
            </w:tcBorders>
          </w:tcPr>
          <w:p w14:paraId="3259EF22"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sidRPr="00606356">
              <w:rPr>
                <w:rFonts w:ascii="Gudea" w:hAnsi="Gudea"/>
                <w:b/>
                <w:color w:val="0D414E"/>
                <w:sz w:val="26"/>
                <w:szCs w:val="24"/>
              </w:rPr>
              <w:lastRenderedPageBreak/>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5D9C1A0D" w14:textId="187F476F"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48A03CD7" w14:textId="1FE9D4A0"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464ACEF5"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3EF27874" w14:textId="77777777" w:rsidR="005B2433" w:rsidRPr="00C21039" w:rsidRDefault="005B2433" w:rsidP="005B2433">
            <w:pPr>
              <w:jc w:val="both"/>
              <w:rPr>
                <w:rFonts w:ascii="Gudea" w:hAnsi="Gudea"/>
                <w:sz w:val="20"/>
              </w:rPr>
            </w:pP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5B2433" w14:paraId="51A2A4C2" w14:textId="77777777" w:rsidTr="008E0DB4">
        <w:trPr>
          <w:trHeight w:val="1406"/>
        </w:trPr>
        <w:tc>
          <w:tcPr>
            <w:tcW w:w="6232" w:type="dxa"/>
          </w:tcPr>
          <w:p w14:paraId="10341E9D" w14:textId="77777777" w:rsidR="001714F8" w:rsidRPr="001714F8" w:rsidRDefault="001714F8" w:rsidP="005B2433">
            <w:pPr>
              <w:spacing w:line="276" w:lineRule="auto"/>
              <w:jc w:val="both"/>
              <w:rPr>
                <w:rFonts w:ascii="Gudea" w:hAnsi="Gudea"/>
                <w:b/>
                <w:bCs/>
                <w:color w:val="0D414E"/>
                <w:sz w:val="8"/>
                <w:szCs w:val="6"/>
              </w:rPr>
            </w:pPr>
          </w:p>
          <w:p w14:paraId="5C579D78" w14:textId="7F4EE1A9"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2840E0C2" w14:textId="77777777" w:rsidR="005B2433" w:rsidRPr="00C21039" w:rsidRDefault="005B2433" w:rsidP="005B2433">
            <w:pPr>
              <w:jc w:val="both"/>
              <w:rPr>
                <w:rFonts w:ascii="Gudea" w:hAnsi="Gudea"/>
                <w:sz w:val="20"/>
              </w:rPr>
            </w:pPr>
          </w:p>
        </w:tc>
        <w:tc>
          <w:tcPr>
            <w:tcW w:w="2409" w:type="dxa"/>
            <w:gridSpan w:val="2"/>
            <w:tcBorders>
              <w:right w:val="single" w:sz="4" w:space="0" w:color="auto"/>
            </w:tcBorders>
          </w:tcPr>
          <w:p w14:paraId="5BFB35F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F52F7A3" w14:textId="77777777" w:rsidR="005B2433" w:rsidRPr="00C21039" w:rsidRDefault="005B2433" w:rsidP="005B2433">
            <w:pPr>
              <w:jc w:val="both"/>
              <w:rPr>
                <w:rFonts w:ascii="Gudea" w:hAnsi="Gudea"/>
                <w:sz w:val="20"/>
              </w:rPr>
            </w:pPr>
          </w:p>
        </w:tc>
        <w:tc>
          <w:tcPr>
            <w:tcW w:w="1418" w:type="dxa"/>
          </w:tcPr>
          <w:p w14:paraId="3CF3020E" w14:textId="77777777" w:rsidR="005B2433" w:rsidRPr="00C21039" w:rsidRDefault="005B2433" w:rsidP="005B2433">
            <w:pPr>
              <w:jc w:val="both"/>
              <w:rPr>
                <w:rFonts w:ascii="Gudea" w:hAnsi="Gudea"/>
                <w:sz w:val="20"/>
              </w:rPr>
            </w:pPr>
          </w:p>
        </w:tc>
      </w:tr>
      <w:tr w:rsidR="005B2433" w14:paraId="3A1135E0" w14:textId="77777777" w:rsidTr="001A1698">
        <w:trPr>
          <w:trHeight w:val="556"/>
        </w:trPr>
        <w:tc>
          <w:tcPr>
            <w:tcW w:w="14171" w:type="dxa"/>
            <w:gridSpan w:val="6"/>
            <w:shd w:val="clear" w:color="auto" w:fill="98B5C1"/>
            <w:vAlign w:val="center"/>
          </w:tcPr>
          <w:p w14:paraId="67977FDD" w14:textId="77777777" w:rsidR="005B2433" w:rsidRPr="00C21039" w:rsidRDefault="005B2433" w:rsidP="005B2433">
            <w:pPr>
              <w:jc w:val="both"/>
              <w:rPr>
                <w:rFonts w:ascii="Gudea" w:hAnsi="Gudea"/>
                <w:b/>
                <w:color w:val="FFFFFF" w:themeColor="background1"/>
              </w:rPr>
            </w:pPr>
            <w:r w:rsidRPr="00606356">
              <w:rPr>
                <w:rFonts w:ascii="Gudea" w:hAnsi="Gudea"/>
                <w:b/>
                <w:color w:val="0D414E"/>
                <w:sz w:val="26"/>
                <w:szCs w:val="22"/>
              </w:rPr>
              <w:t>3. Ledelsens vederlag</w:t>
            </w:r>
          </w:p>
        </w:tc>
      </w:tr>
      <w:tr w:rsidR="005B2433" w14:paraId="7918A582" w14:textId="77777777" w:rsidTr="001A1698">
        <w:trPr>
          <w:trHeight w:val="1838"/>
        </w:trPr>
        <w:tc>
          <w:tcPr>
            <w:tcW w:w="6232" w:type="dxa"/>
          </w:tcPr>
          <w:p w14:paraId="38330D8F" w14:textId="77777777" w:rsidR="001714F8" w:rsidRPr="001714F8" w:rsidRDefault="001714F8" w:rsidP="005B2433">
            <w:pPr>
              <w:spacing w:line="276" w:lineRule="auto"/>
              <w:jc w:val="both"/>
              <w:rPr>
                <w:rFonts w:ascii="Gudea" w:hAnsi="Gudea"/>
                <w:b/>
                <w:bCs/>
                <w:color w:val="0D414E"/>
                <w:sz w:val="8"/>
                <w:szCs w:val="8"/>
              </w:rPr>
            </w:pPr>
          </w:p>
          <w:p w14:paraId="08CCB54F"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492DAC" w:rsidRPr="00492DAC" w:rsidRDefault="00492DAC" w:rsidP="005B2433">
            <w:pPr>
              <w:spacing w:line="276" w:lineRule="auto"/>
              <w:jc w:val="both"/>
              <w:rPr>
                <w:rFonts w:ascii="Gudea" w:hAnsi="Gudea"/>
                <w:sz w:val="14"/>
                <w:szCs w:val="14"/>
              </w:rPr>
            </w:pPr>
          </w:p>
        </w:tc>
        <w:tc>
          <w:tcPr>
            <w:tcW w:w="1844" w:type="dxa"/>
          </w:tcPr>
          <w:p w14:paraId="335B23F7" w14:textId="77777777"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4A7F9B9D"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1C81AA8F" w14:textId="77777777" w:rsidR="005B2433" w:rsidRPr="00C21039" w:rsidRDefault="005B2433" w:rsidP="005B2433">
            <w:pPr>
              <w:jc w:val="both"/>
              <w:rPr>
                <w:rFonts w:ascii="Gudea" w:hAnsi="Gudea"/>
                <w:sz w:val="20"/>
              </w:rPr>
            </w:pPr>
          </w:p>
        </w:tc>
        <w:tc>
          <w:tcPr>
            <w:tcW w:w="1418" w:type="dxa"/>
          </w:tcPr>
          <w:p w14:paraId="3578DF3B" w14:textId="77777777" w:rsidR="005B2433" w:rsidRPr="00C21039" w:rsidRDefault="005B2433" w:rsidP="005B2433">
            <w:pPr>
              <w:jc w:val="both"/>
              <w:rPr>
                <w:rFonts w:ascii="Gudea" w:hAnsi="Gudea"/>
                <w:sz w:val="20"/>
              </w:rPr>
            </w:pPr>
          </w:p>
        </w:tc>
      </w:tr>
      <w:tr w:rsidR="005B2433" w14:paraId="51BC7C2C" w14:textId="77777777" w:rsidTr="001A1698">
        <w:trPr>
          <w:trHeight w:val="2961"/>
        </w:trPr>
        <w:tc>
          <w:tcPr>
            <w:tcW w:w="6232" w:type="dxa"/>
          </w:tcPr>
          <w:p w14:paraId="2F97EF35" w14:textId="77777777" w:rsidR="00492DAC" w:rsidRPr="00492DAC" w:rsidRDefault="00492DAC" w:rsidP="005B2433">
            <w:pPr>
              <w:spacing w:line="276" w:lineRule="auto"/>
              <w:jc w:val="both"/>
              <w:rPr>
                <w:rFonts w:ascii="Gudea" w:hAnsi="Gudea"/>
                <w:b/>
                <w:bCs/>
                <w:color w:val="0D414E"/>
                <w:sz w:val="8"/>
                <w:szCs w:val="8"/>
              </w:rPr>
            </w:pPr>
          </w:p>
          <w:p w14:paraId="5FF9ED5C"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bortset fra medarbejderrepræsentanters vederlag som ansatte. </w:t>
            </w:r>
          </w:p>
          <w:p w14:paraId="41926C94" w14:textId="72C08D4E" w:rsidR="00492DAC" w:rsidRPr="00492DAC" w:rsidRDefault="00492DAC" w:rsidP="005B2433">
            <w:pPr>
              <w:spacing w:line="276" w:lineRule="auto"/>
              <w:jc w:val="both"/>
              <w:rPr>
                <w:rFonts w:ascii="Gudea" w:hAnsi="Gudea"/>
                <w:sz w:val="12"/>
                <w:szCs w:val="12"/>
              </w:rPr>
            </w:pPr>
          </w:p>
        </w:tc>
        <w:tc>
          <w:tcPr>
            <w:tcW w:w="1844" w:type="dxa"/>
          </w:tcPr>
          <w:p w14:paraId="295C4973" w14:textId="77777777" w:rsidR="005B2433" w:rsidRPr="00C21039" w:rsidRDefault="005B2433" w:rsidP="005B2433">
            <w:pPr>
              <w:jc w:val="both"/>
              <w:rPr>
                <w:rFonts w:ascii="Gudea" w:hAnsi="Gudea"/>
                <w:sz w:val="20"/>
              </w:rPr>
            </w:pPr>
          </w:p>
        </w:tc>
        <w:tc>
          <w:tcPr>
            <w:tcW w:w="2409" w:type="dxa"/>
            <w:gridSpan w:val="2"/>
            <w:tcBorders>
              <w:right w:val="single" w:sz="4" w:space="0" w:color="auto"/>
            </w:tcBorders>
          </w:tcPr>
          <w:p w14:paraId="547A98E4"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E48540B" w14:textId="77777777" w:rsidR="005B2433" w:rsidRPr="00C21039" w:rsidRDefault="005B2433" w:rsidP="005B2433">
            <w:pPr>
              <w:jc w:val="both"/>
              <w:rPr>
                <w:rFonts w:ascii="Gudea" w:hAnsi="Gudea"/>
                <w:sz w:val="20"/>
              </w:rPr>
            </w:pPr>
          </w:p>
        </w:tc>
        <w:tc>
          <w:tcPr>
            <w:tcW w:w="1418" w:type="dxa"/>
          </w:tcPr>
          <w:p w14:paraId="37CD1572" w14:textId="77777777" w:rsidR="005B2433" w:rsidRPr="00C21039" w:rsidRDefault="005B2433" w:rsidP="005B2433">
            <w:pPr>
              <w:jc w:val="both"/>
              <w:rPr>
                <w:rFonts w:ascii="Gudea" w:hAnsi="Gudea"/>
                <w:sz w:val="20"/>
              </w:rPr>
            </w:pPr>
          </w:p>
        </w:tc>
      </w:tr>
    </w:tbl>
    <w:p w14:paraId="46F481F2" w14:textId="77777777" w:rsidR="0050719D" w:rsidRPr="00C21039" w:rsidRDefault="0050719D" w:rsidP="00FB2215">
      <w:pPr>
        <w:jc w:val="both"/>
        <w:rPr>
          <w:rFonts w:ascii="Gudea" w:hAnsi="Gudea"/>
        </w:rPr>
      </w:pPr>
    </w:p>
    <w:sectPr w:rsidR="0050719D" w:rsidRPr="00C21039"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EE6F" w14:textId="77777777" w:rsidR="005C4E74" w:rsidRDefault="005C4E74" w:rsidP="00EC76D3">
      <w:r>
        <w:separator/>
      </w:r>
    </w:p>
  </w:endnote>
  <w:endnote w:type="continuationSeparator" w:id="0">
    <w:p w14:paraId="3094C48C" w14:textId="77777777" w:rsidR="005C4E74" w:rsidRDefault="005C4E74"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Calibri"/>
    <w:charset w:val="00"/>
    <w:family w:val="auto"/>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817643074"/>
      <w:docPartObj>
        <w:docPartGallery w:val="Page Numbers (Bottom of Page)"/>
        <w:docPartUnique/>
      </w:docPartObj>
    </w:sdtPr>
    <w:sdtContent>
      <w:p w14:paraId="34B3B775" w14:textId="103E66A2" w:rsidR="00BC0B0D" w:rsidRPr="006B2A8E" w:rsidRDefault="00BC0B0D">
        <w:pPr>
          <w:pStyle w:val="Sidefod"/>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Pr="006B2A8E">
          <w:rPr>
            <w:sz w:val="20"/>
            <w:szCs w:val="16"/>
          </w:rPr>
          <w:t>2</w:t>
        </w:r>
        <w:r w:rsidRPr="006B2A8E">
          <w:rPr>
            <w:sz w:val="20"/>
            <w:szCs w:val="16"/>
          </w:rPr>
          <w:fldChar w:fldCharType="end"/>
        </w:r>
      </w:p>
    </w:sdtContent>
  </w:sdt>
  <w:p w14:paraId="6C669F91" w14:textId="4363B822" w:rsidR="00BC0B0D" w:rsidRPr="00077EEC" w:rsidRDefault="008D3215" w:rsidP="006B2A8E">
    <w:pPr>
      <w:pStyle w:val="Sidefod"/>
      <w:ind w:right="360"/>
      <w:rPr>
        <w:rFonts w:ascii="Gudea" w:hAnsi="Gudea"/>
        <w:color w:val="0D414E"/>
        <w:sz w:val="22"/>
      </w:rPr>
    </w:pPr>
    <w:r>
      <w:rPr>
        <w:rFonts w:ascii="Gudea" w:hAnsi="Gudea"/>
        <w:color w:val="0D414E"/>
        <w:sz w:val="22"/>
      </w:rPr>
      <w:t>R</w:t>
    </w:r>
    <w:r w:rsidR="006B2A8E" w:rsidRPr="00077EEC">
      <w:rPr>
        <w:rFonts w:ascii="Gudea" w:hAnsi="Gudea"/>
        <w:color w:val="0D414E"/>
        <w:sz w:val="22"/>
      </w:rPr>
      <w:t>edegørelse for god fondsledelse, jf. årsregnskabslovens § 77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843E" w14:textId="77777777" w:rsidR="005C4E74" w:rsidRDefault="005C4E74" w:rsidP="00EC76D3">
      <w:r>
        <w:separator/>
      </w:r>
    </w:p>
  </w:footnote>
  <w:footnote w:type="continuationSeparator" w:id="0">
    <w:p w14:paraId="70CA2A8B" w14:textId="77777777" w:rsidR="005C4E74" w:rsidRDefault="005C4E74" w:rsidP="00EC76D3">
      <w:r>
        <w:continuationSeparator/>
      </w:r>
    </w:p>
  </w:footnote>
  <w:footnote w:id="1">
    <w:p w14:paraId="41EDAEC0" w14:textId="77777777" w:rsidR="00D674D9" w:rsidRPr="00D674D9" w:rsidRDefault="00D674D9">
      <w:pPr>
        <w:pStyle w:val="Fodnotetekst"/>
        <w:rPr>
          <w:rFonts w:ascii="Gudea" w:hAnsi="Gudea"/>
        </w:rPr>
      </w:pPr>
      <w:r w:rsidRPr="002B0832">
        <w:rPr>
          <w:rStyle w:val="Fodnotehenvisning"/>
          <w:color w:val="0D414E"/>
          <w:sz w:val="18"/>
          <w:szCs w:val="18"/>
        </w:rPr>
        <w:footnoteRef/>
      </w:r>
      <w:r w:rsidRPr="002B0832">
        <w:rPr>
          <w:color w:val="0D414E"/>
          <w:sz w:val="18"/>
          <w:szCs w:val="18"/>
        </w:rPr>
        <w:t xml:space="preserve"> </w:t>
      </w:r>
      <w:r w:rsidRPr="002B0832">
        <w:rPr>
          <w:rFonts w:ascii="Gudea" w:hAnsi="Gudea"/>
          <w:color w:val="0D414E"/>
          <w:sz w:val="18"/>
          <w:szCs w:val="18"/>
        </w:rPr>
        <w:t xml:space="preserve">Hvis en anbefaling ikke følges, skal fonden forklare, </w:t>
      </w:r>
      <w:r w:rsidRPr="002B0832">
        <w:rPr>
          <w:rFonts w:ascii="Gudea" w:hAnsi="Gudea"/>
          <w:i/>
          <w:color w:val="0D414E"/>
          <w:sz w:val="18"/>
          <w:szCs w:val="18"/>
        </w:rPr>
        <w:t>hvorfor</w:t>
      </w:r>
      <w:r w:rsidRPr="002B0832">
        <w:rPr>
          <w:rFonts w:ascii="Gudea" w:hAnsi="Gudea"/>
          <w:color w:val="0D414E"/>
          <w:sz w:val="18"/>
          <w:szCs w:val="18"/>
        </w:rPr>
        <w:t xml:space="preserve"> anbefalingen ikke følges og</w:t>
      </w:r>
      <w:r w:rsidRPr="002B0832">
        <w:rPr>
          <w:rFonts w:ascii="Gudea" w:hAnsi="Gudea"/>
          <w:i/>
          <w:color w:val="0D414E"/>
          <w:sz w:val="18"/>
          <w:szCs w:val="18"/>
        </w:rPr>
        <w:t xml:space="preserve"> hvordan </w:t>
      </w:r>
      <w:r w:rsidRPr="002B0832">
        <w:rPr>
          <w:rFonts w:ascii="Gudea" w:hAnsi="Gudea"/>
          <w:color w:val="0D414E"/>
          <w:sz w:val="18"/>
          <w:szCs w:val="18"/>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16cid:durableId="812986849">
    <w:abstractNumId w:val="5"/>
  </w:num>
  <w:num w:numId="2" w16cid:durableId="409814607">
    <w:abstractNumId w:val="0"/>
  </w:num>
  <w:num w:numId="3" w16cid:durableId="2129079230">
    <w:abstractNumId w:val="2"/>
  </w:num>
  <w:num w:numId="4" w16cid:durableId="913583921">
    <w:abstractNumId w:val="1"/>
  </w:num>
  <w:num w:numId="5" w16cid:durableId="1020816133">
    <w:abstractNumId w:val="3"/>
  </w:num>
  <w:num w:numId="6" w16cid:durableId="706030702">
    <w:abstractNumId w:val="6"/>
  </w:num>
  <w:num w:numId="7" w16cid:durableId="1524588788">
    <w:abstractNumId w:val="7"/>
  </w:num>
  <w:num w:numId="8" w16cid:durableId="221252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3126E"/>
    <w:rsid w:val="0003326F"/>
    <w:rsid w:val="000448D5"/>
    <w:rsid w:val="0005319D"/>
    <w:rsid w:val="0005653A"/>
    <w:rsid w:val="000574C3"/>
    <w:rsid w:val="00063BD1"/>
    <w:rsid w:val="000663DA"/>
    <w:rsid w:val="00070C75"/>
    <w:rsid w:val="00077EEC"/>
    <w:rsid w:val="00095ECE"/>
    <w:rsid w:val="000A7C71"/>
    <w:rsid w:val="000B3878"/>
    <w:rsid w:val="000C5D9C"/>
    <w:rsid w:val="000D0347"/>
    <w:rsid w:val="000D047F"/>
    <w:rsid w:val="000D7A99"/>
    <w:rsid w:val="000E573B"/>
    <w:rsid w:val="000E6A5F"/>
    <w:rsid w:val="000F13C9"/>
    <w:rsid w:val="000F7CF6"/>
    <w:rsid w:val="00101BB1"/>
    <w:rsid w:val="001148A6"/>
    <w:rsid w:val="00140D8A"/>
    <w:rsid w:val="001415E4"/>
    <w:rsid w:val="001427F7"/>
    <w:rsid w:val="00143783"/>
    <w:rsid w:val="00154553"/>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40CB"/>
    <w:rsid w:val="001D536A"/>
    <w:rsid w:val="001E26E4"/>
    <w:rsid w:val="001F3A12"/>
    <w:rsid w:val="0020626A"/>
    <w:rsid w:val="00207D27"/>
    <w:rsid w:val="002105F4"/>
    <w:rsid w:val="00223FAF"/>
    <w:rsid w:val="00227881"/>
    <w:rsid w:val="00240D83"/>
    <w:rsid w:val="00243686"/>
    <w:rsid w:val="00243794"/>
    <w:rsid w:val="002473D1"/>
    <w:rsid w:val="00251BB5"/>
    <w:rsid w:val="002549CD"/>
    <w:rsid w:val="00262431"/>
    <w:rsid w:val="00265EFC"/>
    <w:rsid w:val="002702A3"/>
    <w:rsid w:val="00273F0C"/>
    <w:rsid w:val="0027461E"/>
    <w:rsid w:val="00285241"/>
    <w:rsid w:val="00295073"/>
    <w:rsid w:val="002A339A"/>
    <w:rsid w:val="002A3470"/>
    <w:rsid w:val="002A58D6"/>
    <w:rsid w:val="002B0832"/>
    <w:rsid w:val="002B1659"/>
    <w:rsid w:val="002C2A60"/>
    <w:rsid w:val="002D302D"/>
    <w:rsid w:val="002F6753"/>
    <w:rsid w:val="00304775"/>
    <w:rsid w:val="00315AAC"/>
    <w:rsid w:val="0032430D"/>
    <w:rsid w:val="00337CEC"/>
    <w:rsid w:val="00344550"/>
    <w:rsid w:val="00346AD4"/>
    <w:rsid w:val="00346B7D"/>
    <w:rsid w:val="00362722"/>
    <w:rsid w:val="00373937"/>
    <w:rsid w:val="00373A02"/>
    <w:rsid w:val="00374833"/>
    <w:rsid w:val="00376067"/>
    <w:rsid w:val="00383A20"/>
    <w:rsid w:val="003A0944"/>
    <w:rsid w:val="003A4B7F"/>
    <w:rsid w:val="003C412A"/>
    <w:rsid w:val="003D75B5"/>
    <w:rsid w:val="003E5892"/>
    <w:rsid w:val="003F4580"/>
    <w:rsid w:val="00401EF6"/>
    <w:rsid w:val="0041089E"/>
    <w:rsid w:val="00417F1B"/>
    <w:rsid w:val="004242E0"/>
    <w:rsid w:val="00436491"/>
    <w:rsid w:val="0045162E"/>
    <w:rsid w:val="00453383"/>
    <w:rsid w:val="004579A4"/>
    <w:rsid w:val="004718B5"/>
    <w:rsid w:val="00484BEC"/>
    <w:rsid w:val="00491625"/>
    <w:rsid w:val="00491E61"/>
    <w:rsid w:val="00492DAC"/>
    <w:rsid w:val="004B374E"/>
    <w:rsid w:val="004E2075"/>
    <w:rsid w:val="004E27F4"/>
    <w:rsid w:val="004E35F7"/>
    <w:rsid w:val="004E678F"/>
    <w:rsid w:val="004E7809"/>
    <w:rsid w:val="004F278F"/>
    <w:rsid w:val="004F4274"/>
    <w:rsid w:val="005059DB"/>
    <w:rsid w:val="00506503"/>
    <w:rsid w:val="0050719D"/>
    <w:rsid w:val="00512D55"/>
    <w:rsid w:val="0052273C"/>
    <w:rsid w:val="0052521C"/>
    <w:rsid w:val="00534E62"/>
    <w:rsid w:val="00535490"/>
    <w:rsid w:val="00541162"/>
    <w:rsid w:val="00546FFD"/>
    <w:rsid w:val="005528BD"/>
    <w:rsid w:val="00554779"/>
    <w:rsid w:val="00566864"/>
    <w:rsid w:val="005B1806"/>
    <w:rsid w:val="005B2433"/>
    <w:rsid w:val="005B6D00"/>
    <w:rsid w:val="005C3C13"/>
    <w:rsid w:val="005C4E74"/>
    <w:rsid w:val="005C5818"/>
    <w:rsid w:val="005D1AAE"/>
    <w:rsid w:val="005F416B"/>
    <w:rsid w:val="00601544"/>
    <w:rsid w:val="00606356"/>
    <w:rsid w:val="00610B5D"/>
    <w:rsid w:val="006159A8"/>
    <w:rsid w:val="00630775"/>
    <w:rsid w:val="00641F0D"/>
    <w:rsid w:val="00642936"/>
    <w:rsid w:val="006454DF"/>
    <w:rsid w:val="006526E8"/>
    <w:rsid w:val="0066298A"/>
    <w:rsid w:val="0066637F"/>
    <w:rsid w:val="006759D2"/>
    <w:rsid w:val="006868EC"/>
    <w:rsid w:val="00687235"/>
    <w:rsid w:val="00692D1F"/>
    <w:rsid w:val="0069387D"/>
    <w:rsid w:val="006A33E5"/>
    <w:rsid w:val="006B128A"/>
    <w:rsid w:val="006B2737"/>
    <w:rsid w:val="006B2A8E"/>
    <w:rsid w:val="006D5E4D"/>
    <w:rsid w:val="006E355A"/>
    <w:rsid w:val="00703F64"/>
    <w:rsid w:val="0070734C"/>
    <w:rsid w:val="00720CD6"/>
    <w:rsid w:val="0072732B"/>
    <w:rsid w:val="007427DA"/>
    <w:rsid w:val="00743193"/>
    <w:rsid w:val="00744CAC"/>
    <w:rsid w:val="0074643C"/>
    <w:rsid w:val="00762FF5"/>
    <w:rsid w:val="00770B94"/>
    <w:rsid w:val="00790A0C"/>
    <w:rsid w:val="007940E8"/>
    <w:rsid w:val="007A25ED"/>
    <w:rsid w:val="007A2CF8"/>
    <w:rsid w:val="007B799F"/>
    <w:rsid w:val="007C32A7"/>
    <w:rsid w:val="007D0974"/>
    <w:rsid w:val="007D7779"/>
    <w:rsid w:val="007E2B78"/>
    <w:rsid w:val="007E3D63"/>
    <w:rsid w:val="007F6400"/>
    <w:rsid w:val="007F6C52"/>
    <w:rsid w:val="007F7522"/>
    <w:rsid w:val="008012E4"/>
    <w:rsid w:val="00802174"/>
    <w:rsid w:val="00851F80"/>
    <w:rsid w:val="008544B0"/>
    <w:rsid w:val="008615E7"/>
    <w:rsid w:val="00866B61"/>
    <w:rsid w:val="00866FE3"/>
    <w:rsid w:val="00883763"/>
    <w:rsid w:val="00887664"/>
    <w:rsid w:val="008913BB"/>
    <w:rsid w:val="00891C54"/>
    <w:rsid w:val="00892B1D"/>
    <w:rsid w:val="008A7A86"/>
    <w:rsid w:val="008B43D4"/>
    <w:rsid w:val="008B76EF"/>
    <w:rsid w:val="008D3215"/>
    <w:rsid w:val="008D35B2"/>
    <w:rsid w:val="008D52A2"/>
    <w:rsid w:val="008E0DB4"/>
    <w:rsid w:val="008E2921"/>
    <w:rsid w:val="008E3CA0"/>
    <w:rsid w:val="008E6577"/>
    <w:rsid w:val="008F5B7E"/>
    <w:rsid w:val="00903CFD"/>
    <w:rsid w:val="00922161"/>
    <w:rsid w:val="00922E7C"/>
    <w:rsid w:val="00927BF4"/>
    <w:rsid w:val="0094020C"/>
    <w:rsid w:val="00954A02"/>
    <w:rsid w:val="009613A3"/>
    <w:rsid w:val="0097324A"/>
    <w:rsid w:val="00994421"/>
    <w:rsid w:val="009A5519"/>
    <w:rsid w:val="009A6F6E"/>
    <w:rsid w:val="009C1685"/>
    <w:rsid w:val="009F454B"/>
    <w:rsid w:val="00A026B5"/>
    <w:rsid w:val="00A1001F"/>
    <w:rsid w:val="00A15A97"/>
    <w:rsid w:val="00A2085B"/>
    <w:rsid w:val="00A335CD"/>
    <w:rsid w:val="00A461C8"/>
    <w:rsid w:val="00A51C62"/>
    <w:rsid w:val="00A66696"/>
    <w:rsid w:val="00A82202"/>
    <w:rsid w:val="00A8226B"/>
    <w:rsid w:val="00A86D07"/>
    <w:rsid w:val="00AA6DD7"/>
    <w:rsid w:val="00AB0D87"/>
    <w:rsid w:val="00AB64FF"/>
    <w:rsid w:val="00AD795D"/>
    <w:rsid w:val="00AE72B4"/>
    <w:rsid w:val="00AF0062"/>
    <w:rsid w:val="00AF5A6C"/>
    <w:rsid w:val="00AF7BE0"/>
    <w:rsid w:val="00B0561F"/>
    <w:rsid w:val="00B364A6"/>
    <w:rsid w:val="00B57289"/>
    <w:rsid w:val="00B714C9"/>
    <w:rsid w:val="00B76595"/>
    <w:rsid w:val="00B83599"/>
    <w:rsid w:val="00B930FD"/>
    <w:rsid w:val="00B94F7F"/>
    <w:rsid w:val="00B95F3F"/>
    <w:rsid w:val="00B97CFC"/>
    <w:rsid w:val="00BA1794"/>
    <w:rsid w:val="00BA6DA9"/>
    <w:rsid w:val="00BC0B0D"/>
    <w:rsid w:val="00BC575B"/>
    <w:rsid w:val="00BD2922"/>
    <w:rsid w:val="00BD58D1"/>
    <w:rsid w:val="00BE27B0"/>
    <w:rsid w:val="00BE74B8"/>
    <w:rsid w:val="00BE770D"/>
    <w:rsid w:val="00C049CF"/>
    <w:rsid w:val="00C13078"/>
    <w:rsid w:val="00C16FAC"/>
    <w:rsid w:val="00C21039"/>
    <w:rsid w:val="00C31BF1"/>
    <w:rsid w:val="00C33052"/>
    <w:rsid w:val="00C53BC3"/>
    <w:rsid w:val="00C628A6"/>
    <w:rsid w:val="00C925E0"/>
    <w:rsid w:val="00C928F4"/>
    <w:rsid w:val="00C9614B"/>
    <w:rsid w:val="00CB150F"/>
    <w:rsid w:val="00CC1DF5"/>
    <w:rsid w:val="00CC232B"/>
    <w:rsid w:val="00CC3FCE"/>
    <w:rsid w:val="00CC6FFA"/>
    <w:rsid w:val="00CE0087"/>
    <w:rsid w:val="00CE2C74"/>
    <w:rsid w:val="00CF2FE7"/>
    <w:rsid w:val="00D04826"/>
    <w:rsid w:val="00D125F6"/>
    <w:rsid w:val="00D15016"/>
    <w:rsid w:val="00D20E75"/>
    <w:rsid w:val="00D23C46"/>
    <w:rsid w:val="00D55D45"/>
    <w:rsid w:val="00D57CF1"/>
    <w:rsid w:val="00D60E80"/>
    <w:rsid w:val="00D674D9"/>
    <w:rsid w:val="00D74400"/>
    <w:rsid w:val="00D81459"/>
    <w:rsid w:val="00D815E8"/>
    <w:rsid w:val="00D9209B"/>
    <w:rsid w:val="00D93970"/>
    <w:rsid w:val="00D97936"/>
    <w:rsid w:val="00DA041F"/>
    <w:rsid w:val="00DA712E"/>
    <w:rsid w:val="00DB01A7"/>
    <w:rsid w:val="00DB4B62"/>
    <w:rsid w:val="00DE5365"/>
    <w:rsid w:val="00DF31EE"/>
    <w:rsid w:val="00DF52AB"/>
    <w:rsid w:val="00DF7479"/>
    <w:rsid w:val="00DF7A63"/>
    <w:rsid w:val="00E07F56"/>
    <w:rsid w:val="00E131C2"/>
    <w:rsid w:val="00E1349A"/>
    <w:rsid w:val="00E15244"/>
    <w:rsid w:val="00E2045B"/>
    <w:rsid w:val="00E26E0A"/>
    <w:rsid w:val="00E318DC"/>
    <w:rsid w:val="00E370A4"/>
    <w:rsid w:val="00E44D33"/>
    <w:rsid w:val="00E508DD"/>
    <w:rsid w:val="00E659FA"/>
    <w:rsid w:val="00E65D24"/>
    <w:rsid w:val="00E71199"/>
    <w:rsid w:val="00E74BAE"/>
    <w:rsid w:val="00E821D3"/>
    <w:rsid w:val="00E906AB"/>
    <w:rsid w:val="00E920B0"/>
    <w:rsid w:val="00E92794"/>
    <w:rsid w:val="00EA45B1"/>
    <w:rsid w:val="00EB7517"/>
    <w:rsid w:val="00EC6123"/>
    <w:rsid w:val="00EC76D3"/>
    <w:rsid w:val="00EF3CD1"/>
    <w:rsid w:val="00F00323"/>
    <w:rsid w:val="00F04D66"/>
    <w:rsid w:val="00F263CE"/>
    <w:rsid w:val="00F27AFC"/>
    <w:rsid w:val="00F31B91"/>
    <w:rsid w:val="00F3422E"/>
    <w:rsid w:val="00F710F5"/>
    <w:rsid w:val="00F7224F"/>
    <w:rsid w:val="00F74A25"/>
    <w:rsid w:val="00F75F8E"/>
    <w:rsid w:val="00FA2FA9"/>
    <w:rsid w:val="00FB2215"/>
    <w:rsid w:val="00FC3E96"/>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paragraph" w:styleId="Brdtekst">
    <w:name w:val="Body Text"/>
    <w:basedOn w:val="Normal"/>
    <w:next w:val="Normal"/>
    <w:link w:val="BrdtekstTegn"/>
    <w:unhideWhenUsed/>
    <w:rsid w:val="00851F80"/>
    <w:pPr>
      <w:autoSpaceDN w:val="0"/>
      <w:spacing w:line="280" w:lineRule="exact"/>
      <w:jc w:val="both"/>
    </w:pPr>
    <w:rPr>
      <w:rFonts w:ascii="Times New Roman" w:hAnsi="Times New Roman"/>
      <w:spacing w:val="2"/>
      <w:lang w:val="en-GB" w:eastAsia="en-US"/>
    </w:rPr>
  </w:style>
  <w:style w:type="character" w:customStyle="1" w:styleId="BrdtekstTegn">
    <w:name w:val="Brødtekst Tegn"/>
    <w:basedOn w:val="Standardskrifttypeiafsnit"/>
    <w:link w:val="Brdtekst"/>
    <w:rsid w:val="00851F80"/>
    <w:rPr>
      <w:spacing w:val="2"/>
      <w:sz w:val="24"/>
      <w:lang w:val="en-GB" w:eastAsia="en-US"/>
    </w:rPr>
  </w:style>
  <w:style w:type="paragraph" w:customStyle="1" w:styleId="Default">
    <w:name w:val="Default"/>
    <w:rsid w:val="00453383"/>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A335CD"/>
    <w:rPr>
      <w:sz w:val="16"/>
      <w:szCs w:val="16"/>
    </w:rPr>
  </w:style>
  <w:style w:type="paragraph" w:styleId="Kommentartekst">
    <w:name w:val="annotation text"/>
    <w:basedOn w:val="Normal"/>
    <w:link w:val="KommentartekstTegn"/>
    <w:uiPriority w:val="99"/>
    <w:unhideWhenUsed/>
    <w:rsid w:val="00A335CD"/>
    <w:rPr>
      <w:sz w:val="20"/>
    </w:rPr>
  </w:style>
  <w:style w:type="character" w:customStyle="1" w:styleId="KommentartekstTegn">
    <w:name w:val="Kommentartekst Tegn"/>
    <w:basedOn w:val="Standardskrifttypeiafsnit"/>
    <w:link w:val="Kommentartekst"/>
    <w:uiPriority w:val="99"/>
    <w:rsid w:val="00A335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E1A5B66966E54FA7270CE56A0A8EA3" ma:contentTypeVersion="10" ma:contentTypeDescription="Opret et nyt dokument." ma:contentTypeScope="" ma:versionID="22ca493e105fcbb6f2aa1cf1ebbde8b1">
  <xsd:schema xmlns:xsd="http://www.w3.org/2001/XMLSchema" xmlns:xs="http://www.w3.org/2001/XMLSchema" xmlns:p="http://schemas.microsoft.com/office/2006/metadata/properties" xmlns:ns3="67959387-b910-47a5-8301-8f4f5bdf62fb" xmlns:ns4="2d946ae7-885a-4d21-ae44-0b7dc22704af" targetNamespace="http://schemas.microsoft.com/office/2006/metadata/properties" ma:root="true" ma:fieldsID="fdfe02220116d2c064a837a666d3a8db" ns3:_="" ns4:_="">
    <xsd:import namespace="67959387-b910-47a5-8301-8f4f5bdf62fb"/>
    <xsd:import namespace="2d946ae7-885a-4d21-ae44-0b7dc22704a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387-b910-47a5-8301-8f4f5bdf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46ae7-885a-4d21-ae44-0b7dc22704a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2.xml><?xml version="1.0" encoding="utf-8"?>
<ds:datastoreItem xmlns:ds="http://schemas.openxmlformats.org/officeDocument/2006/customXml" ds:itemID="{1DD49B21-EF7E-4F66-8404-CB1E55586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387-b910-47a5-8301-8f4f5bdf62fb"/>
    <ds:schemaRef ds:uri="2d946ae7-885a-4d21-ae44-0b7dc2270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1071F6-FF42-4C29-A6AD-7504DE45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1457</Words>
  <Characters>8893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Skema til redegørelse for stillingstagen til anbefalingerne</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Sekretariatet</cp:lastModifiedBy>
  <cp:revision>24</cp:revision>
  <cp:lastPrinted>2023-06-13T07:47:00Z</cp:lastPrinted>
  <dcterms:created xsi:type="dcterms:W3CDTF">2023-06-13T07:47:00Z</dcterms:created>
  <dcterms:modified xsi:type="dcterms:W3CDTF">2023-06-23T10:41:00Z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0x0101001CE1A5B66966E54FA7270CE56A0A8EA3</vt:lpwstr>
  </property>
</Properties>
</file>