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4E14" w14:textId="77777777" w:rsidR="007A11AB" w:rsidRDefault="007A11AB" w:rsidP="007A11AB">
      <w:pPr>
        <w:jc w:val="center"/>
        <w:rPr>
          <w:b/>
        </w:rPr>
      </w:pPr>
    </w:p>
    <w:p w14:paraId="57991B9F" w14:textId="77777777" w:rsidR="007A11AB" w:rsidRDefault="007A11AB" w:rsidP="007A11AB">
      <w:pPr>
        <w:jc w:val="center"/>
        <w:rPr>
          <w:b/>
        </w:rPr>
      </w:pPr>
    </w:p>
    <w:p w14:paraId="27C5921B" w14:textId="77777777" w:rsidR="007A11AB" w:rsidRDefault="007A11AB" w:rsidP="007A11AB">
      <w:pPr>
        <w:jc w:val="center"/>
        <w:rPr>
          <w:b/>
        </w:rPr>
      </w:pPr>
    </w:p>
    <w:p w14:paraId="6182EC80" w14:textId="77777777" w:rsidR="007A11AB" w:rsidRDefault="007A11AB" w:rsidP="007A11AB">
      <w:pPr>
        <w:jc w:val="center"/>
        <w:rPr>
          <w:b/>
        </w:rPr>
      </w:pPr>
    </w:p>
    <w:p w14:paraId="76B7CA68" w14:textId="77777777" w:rsidR="007A11AB" w:rsidRDefault="007A11AB" w:rsidP="007A11AB">
      <w:pPr>
        <w:jc w:val="center"/>
        <w:rPr>
          <w:b/>
        </w:rPr>
      </w:pPr>
    </w:p>
    <w:p w14:paraId="03DCE4CE" w14:textId="77777777" w:rsidR="007A11AB" w:rsidRDefault="007A11AB" w:rsidP="007A11AB">
      <w:pPr>
        <w:jc w:val="center"/>
        <w:rPr>
          <w:b/>
        </w:rPr>
      </w:pPr>
    </w:p>
    <w:p w14:paraId="4C427167" w14:textId="77777777" w:rsidR="007A11AB" w:rsidRDefault="007A11AB" w:rsidP="007A11AB">
      <w:pPr>
        <w:jc w:val="center"/>
        <w:rPr>
          <w:b/>
        </w:rPr>
      </w:pPr>
    </w:p>
    <w:p w14:paraId="2C054998" w14:textId="77777777" w:rsidR="007A11AB" w:rsidRDefault="007A11AB" w:rsidP="007A11AB">
      <w:pPr>
        <w:jc w:val="center"/>
        <w:rPr>
          <w:b/>
        </w:rPr>
      </w:pPr>
    </w:p>
    <w:p w14:paraId="61E52981" w14:textId="77777777" w:rsidR="007A11AB" w:rsidRPr="008F2075" w:rsidRDefault="007A11AB" w:rsidP="007A11AB">
      <w:pPr>
        <w:jc w:val="center"/>
        <w:rPr>
          <w:b/>
        </w:rPr>
      </w:pPr>
      <w:r w:rsidRPr="008F2075">
        <w:rPr>
          <w:b/>
        </w:rPr>
        <w:t xml:space="preserve">Vedtægter </w:t>
      </w:r>
    </w:p>
    <w:p w14:paraId="2F76192C" w14:textId="77777777" w:rsidR="007A11AB" w:rsidRPr="008F2075" w:rsidRDefault="007A11AB" w:rsidP="007A11AB">
      <w:pPr>
        <w:jc w:val="center"/>
        <w:rPr>
          <w:b/>
        </w:rPr>
      </w:pPr>
      <w:r w:rsidRPr="008F2075">
        <w:rPr>
          <w:b/>
        </w:rPr>
        <w:t xml:space="preserve">for </w:t>
      </w:r>
    </w:p>
    <w:p w14:paraId="60B0889F" w14:textId="77777777" w:rsidR="007A11AB" w:rsidRDefault="007A11AB" w:rsidP="007A11AB">
      <w:pPr>
        <w:jc w:val="center"/>
        <w:rPr>
          <w:b/>
        </w:rPr>
      </w:pPr>
      <w:r w:rsidRPr="008F2075">
        <w:rPr>
          <w:b/>
        </w:rPr>
        <w:t>Komitéen for god Fondsledelse</w:t>
      </w:r>
    </w:p>
    <w:p w14:paraId="6F761B38" w14:textId="77777777" w:rsidR="007A11AB" w:rsidRDefault="007A11AB" w:rsidP="007A11AB">
      <w:pPr>
        <w:jc w:val="left"/>
      </w:pPr>
      <w:r>
        <w:br w:type="page"/>
      </w:r>
    </w:p>
    <w:p w14:paraId="20FF1CEC" w14:textId="77777777" w:rsidR="007A11AB" w:rsidRPr="00BC3268" w:rsidRDefault="007A11AB" w:rsidP="007A11AB">
      <w:pPr>
        <w:rPr>
          <w:b/>
          <w:sz w:val="22"/>
        </w:rPr>
      </w:pPr>
      <w:r w:rsidRPr="00BC3268">
        <w:rPr>
          <w:b/>
          <w:sz w:val="22"/>
        </w:rPr>
        <w:lastRenderedPageBreak/>
        <w:t>1 Baggrund</w:t>
      </w:r>
    </w:p>
    <w:p w14:paraId="6256FF22" w14:textId="77777777" w:rsidR="003C1CD3" w:rsidRDefault="007A11AB" w:rsidP="007A11AB">
      <w:pPr>
        <w:pStyle w:val="Brdtekst"/>
        <w:ind w:left="851" w:hanging="851"/>
        <w:rPr>
          <w:sz w:val="22"/>
        </w:rPr>
      </w:pPr>
      <w:r w:rsidRPr="00BC3268">
        <w:rPr>
          <w:sz w:val="22"/>
        </w:rPr>
        <w:t>1.1</w:t>
      </w:r>
      <w:r w:rsidRPr="00BC3268">
        <w:rPr>
          <w:sz w:val="22"/>
        </w:rPr>
        <w:tab/>
      </w:r>
    </w:p>
    <w:p w14:paraId="76053AA9" w14:textId="56825DD8" w:rsidR="007A11AB" w:rsidRPr="00B71AA4" w:rsidRDefault="007A11AB" w:rsidP="003C1CD3">
      <w:pPr>
        <w:pStyle w:val="Brdtekst"/>
        <w:ind w:left="851"/>
        <w:rPr>
          <w:rFonts w:eastAsia="Times New Roman" w:cs="Times New Roman"/>
          <w:sz w:val="22"/>
        </w:rPr>
      </w:pPr>
      <w:r>
        <w:rPr>
          <w:sz w:val="22"/>
        </w:rPr>
        <w:t>L</w:t>
      </w:r>
      <w:r w:rsidRPr="00B71AA4">
        <w:rPr>
          <w:rFonts w:eastAsia="Times New Roman" w:cs="Times New Roman"/>
          <w:sz w:val="22"/>
        </w:rPr>
        <w:t xml:space="preserve">ov om erhvervsdrivende fonde </w:t>
      </w:r>
      <w:r>
        <w:rPr>
          <w:rFonts w:eastAsia="Times New Roman" w:cs="Times New Roman"/>
          <w:sz w:val="22"/>
        </w:rPr>
        <w:t xml:space="preserve">§ 60, stk. 1, 1. pkt. indeholder en </w:t>
      </w:r>
      <w:r w:rsidRPr="00B71AA4">
        <w:rPr>
          <w:rFonts w:eastAsia="Times New Roman" w:cs="Times New Roman"/>
          <w:sz w:val="22"/>
        </w:rPr>
        <w:t>bestemmelse om, at ”</w:t>
      </w:r>
      <w:r w:rsidRPr="00E77642">
        <w:rPr>
          <w:rFonts w:eastAsia="Times New Roman" w:cs="Times New Roman"/>
          <w:i/>
          <w:sz w:val="22"/>
        </w:rPr>
        <w:t>B</w:t>
      </w:r>
      <w:r w:rsidRPr="00B71AA4">
        <w:rPr>
          <w:rFonts w:eastAsia="Times New Roman" w:cs="Times New Roman"/>
          <w:i/>
          <w:sz w:val="22"/>
        </w:rPr>
        <w:t>estyrelsen skal redegøre for, hvorledes de forholder sig til de af Komitéen for god Fondsledelse udarbejdede anbefalinger for god fondsledelse.</w:t>
      </w:r>
      <w:r w:rsidRPr="00B71AA4">
        <w:rPr>
          <w:rFonts w:eastAsia="Times New Roman" w:cs="Times New Roman"/>
          <w:sz w:val="22"/>
        </w:rPr>
        <w:t>”. Lov om erhvervsdrivende fonde har således indbygget den forudsætning, at der nedsættes en Komité for god Fondsledelse</w:t>
      </w:r>
      <w:r>
        <w:rPr>
          <w:rFonts w:eastAsia="Times New Roman" w:cs="Times New Roman"/>
          <w:sz w:val="22"/>
        </w:rPr>
        <w:t>,</w:t>
      </w:r>
      <w:r w:rsidRPr="00B71AA4">
        <w:rPr>
          <w:rFonts w:eastAsia="Times New Roman" w:cs="Times New Roman"/>
          <w:sz w:val="22"/>
        </w:rPr>
        <w:t xml:space="preserve"> og at komitéen udarbejder </w:t>
      </w:r>
      <w:r>
        <w:rPr>
          <w:rFonts w:eastAsia="Times New Roman" w:cs="Times New Roman"/>
          <w:sz w:val="22"/>
        </w:rPr>
        <w:t xml:space="preserve">et sæt </w:t>
      </w:r>
      <w:r w:rsidRPr="00B71AA4">
        <w:rPr>
          <w:rFonts w:eastAsia="Times New Roman" w:cs="Times New Roman"/>
          <w:sz w:val="22"/>
        </w:rPr>
        <w:t xml:space="preserve">anbefalinger for god fondsledelse. </w:t>
      </w:r>
    </w:p>
    <w:p w14:paraId="41A856B0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Pr="00BC3268">
        <w:rPr>
          <w:sz w:val="22"/>
        </w:rPr>
        <w:t>Komitéen for god Fondsledelse (i det følgende ”komitéen”) er et uafhængigt organ</w:t>
      </w:r>
      <w:r>
        <w:rPr>
          <w:sz w:val="22"/>
        </w:rPr>
        <w:t xml:space="preserve"> udpeget af erhvervs- og vækstministeren. Komitéens arbejde tilrettelægges i overensstemmelse med </w:t>
      </w:r>
      <w:r w:rsidRPr="00BC3268">
        <w:rPr>
          <w:sz w:val="22"/>
        </w:rPr>
        <w:t>nedenstående</w:t>
      </w:r>
      <w:r>
        <w:rPr>
          <w:sz w:val="22"/>
        </w:rPr>
        <w:t xml:space="preserve"> vedtægter.</w:t>
      </w:r>
    </w:p>
    <w:p w14:paraId="721269FD" w14:textId="77777777" w:rsidR="007A11AB" w:rsidRPr="00BC3268" w:rsidRDefault="007A11AB" w:rsidP="007A11AB">
      <w:pPr>
        <w:rPr>
          <w:b/>
          <w:sz w:val="22"/>
        </w:rPr>
      </w:pPr>
    </w:p>
    <w:p w14:paraId="4778F6C3" w14:textId="77777777" w:rsidR="007A11AB" w:rsidRPr="00BC3268" w:rsidRDefault="007A11AB" w:rsidP="007A11AB">
      <w:pPr>
        <w:rPr>
          <w:b/>
          <w:sz w:val="22"/>
        </w:rPr>
      </w:pPr>
      <w:r w:rsidRPr="00BC3268">
        <w:rPr>
          <w:b/>
          <w:sz w:val="22"/>
        </w:rPr>
        <w:t>2 Medlemmer</w:t>
      </w:r>
    </w:p>
    <w:p w14:paraId="6DD2147A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2.1</w:t>
      </w:r>
      <w:r w:rsidRPr="00BC3268">
        <w:rPr>
          <w:sz w:val="22"/>
        </w:rPr>
        <w:tab/>
      </w:r>
    </w:p>
    <w:p w14:paraId="069F6764" w14:textId="2F687CA4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Komitéen består af </w:t>
      </w:r>
      <w:r w:rsidR="007A11AB">
        <w:rPr>
          <w:sz w:val="22"/>
        </w:rPr>
        <w:t>syv</w:t>
      </w:r>
      <w:r w:rsidR="007A11AB" w:rsidRPr="00BC3268">
        <w:rPr>
          <w:sz w:val="22"/>
        </w:rPr>
        <w:t xml:space="preserve"> medlemmer.</w:t>
      </w:r>
    </w:p>
    <w:p w14:paraId="43DBDAF3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2.2</w:t>
      </w:r>
      <w:r w:rsidRPr="00BC3268">
        <w:rPr>
          <w:sz w:val="22"/>
        </w:rPr>
        <w:tab/>
      </w:r>
    </w:p>
    <w:p w14:paraId="2C4E24EC" w14:textId="646B7CEF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Komitéens medlemmer udpeges for en periode af </w:t>
      </w:r>
      <w:r w:rsidR="007A11AB">
        <w:rPr>
          <w:sz w:val="22"/>
        </w:rPr>
        <w:t>to</w:t>
      </w:r>
      <w:r w:rsidR="007A11AB" w:rsidRPr="00BC3268">
        <w:rPr>
          <w:sz w:val="22"/>
        </w:rPr>
        <w:t xml:space="preserve"> år. </w:t>
      </w:r>
    </w:p>
    <w:p w14:paraId="36F49503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2.3</w:t>
      </w:r>
      <w:r w:rsidRPr="00BC3268">
        <w:rPr>
          <w:sz w:val="22"/>
        </w:rPr>
        <w:tab/>
      </w:r>
    </w:p>
    <w:p w14:paraId="4CEB310C" w14:textId="60055A99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Komitéens medlemmer kan genudpeges for yderligere </w:t>
      </w:r>
      <w:r w:rsidR="007A11AB">
        <w:rPr>
          <w:sz w:val="22"/>
        </w:rPr>
        <w:t>tre</w:t>
      </w:r>
      <w:r w:rsidR="007A11AB" w:rsidRPr="00BC3268">
        <w:rPr>
          <w:sz w:val="22"/>
        </w:rPr>
        <w:t xml:space="preserve"> perioder.</w:t>
      </w:r>
    </w:p>
    <w:p w14:paraId="0A5150D5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 xml:space="preserve">2.4 </w:t>
      </w:r>
      <w:r w:rsidRPr="00BC3268">
        <w:rPr>
          <w:sz w:val="22"/>
        </w:rPr>
        <w:tab/>
      </w:r>
    </w:p>
    <w:p w14:paraId="75C585DA" w14:textId="6C96B393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>
        <w:rPr>
          <w:sz w:val="22"/>
        </w:rPr>
        <w:t>Erhvervs- og vækstministeren udpeger de første medlemmer af komitéen. Herefter udpeges k</w:t>
      </w:r>
      <w:r w:rsidR="007A11AB" w:rsidRPr="00BC3268">
        <w:rPr>
          <w:sz w:val="22"/>
        </w:rPr>
        <w:t>omitéens medlemmer af erhvervs- og vækstministeren på grundlag af en indstilling fra komitéen.</w:t>
      </w:r>
    </w:p>
    <w:p w14:paraId="1559A56D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2.5</w:t>
      </w:r>
      <w:r w:rsidRPr="00BC3268">
        <w:rPr>
          <w:sz w:val="22"/>
        </w:rPr>
        <w:tab/>
      </w:r>
    </w:p>
    <w:p w14:paraId="35ACFCFF" w14:textId="2B2C0504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Komitéens medlemmer fungerer uafhængigt af bestemte interesser.</w:t>
      </w:r>
    </w:p>
    <w:p w14:paraId="1F6B70BB" w14:textId="77777777" w:rsidR="003C1CD3" w:rsidRDefault="007A11AB" w:rsidP="007A11AB">
      <w:pPr>
        <w:ind w:left="851" w:hanging="851"/>
        <w:rPr>
          <w:sz w:val="22"/>
        </w:rPr>
      </w:pPr>
      <w:r w:rsidRPr="00BC3268">
        <w:rPr>
          <w:sz w:val="22"/>
        </w:rPr>
        <w:t>2.6</w:t>
      </w:r>
      <w:r w:rsidRPr="00BC3268">
        <w:rPr>
          <w:sz w:val="22"/>
        </w:rPr>
        <w:tab/>
      </w:r>
    </w:p>
    <w:p w14:paraId="4872A5C4" w14:textId="3CA84BA9" w:rsidR="007A11AB" w:rsidRPr="00BC3268" w:rsidRDefault="007A11AB" w:rsidP="003C1CD3">
      <w:pPr>
        <w:ind w:left="851"/>
        <w:rPr>
          <w:sz w:val="22"/>
        </w:rPr>
      </w:pPr>
      <w:r w:rsidRPr="00BC3268">
        <w:rPr>
          <w:sz w:val="22"/>
        </w:rPr>
        <w:t>Komitéens medlemmer skal være generelt respekterede og anerkendte.</w:t>
      </w:r>
      <w:r>
        <w:rPr>
          <w:sz w:val="22"/>
        </w:rPr>
        <w:t xml:space="preserve"> </w:t>
      </w:r>
      <w:r w:rsidRPr="00BC3268">
        <w:rPr>
          <w:sz w:val="22"/>
        </w:rPr>
        <w:t xml:space="preserve">Ved indstilling og udpegning af medlemmer skal det desuden sikres, at komitéen samlet set til enhver tid besidder en betydelig viden og praktisk erfaring </w:t>
      </w:r>
      <w:r>
        <w:rPr>
          <w:sz w:val="22"/>
        </w:rPr>
        <w:t xml:space="preserve">indenfor </w:t>
      </w:r>
      <w:r w:rsidRPr="00BC3268">
        <w:rPr>
          <w:sz w:val="22"/>
        </w:rPr>
        <w:t>følgende:</w:t>
      </w:r>
    </w:p>
    <w:p w14:paraId="714E35F4" w14:textId="77777777" w:rsidR="007A11AB" w:rsidRPr="00BC3268" w:rsidRDefault="007A11AB" w:rsidP="007A11AB">
      <w:pPr>
        <w:pStyle w:val="Listeafsnit"/>
        <w:numPr>
          <w:ilvl w:val="0"/>
          <w:numId w:val="1"/>
        </w:numPr>
        <w:tabs>
          <w:tab w:val="left" w:pos="1134"/>
        </w:tabs>
        <w:ind w:left="1134" w:hanging="283"/>
        <w:rPr>
          <w:sz w:val="22"/>
        </w:rPr>
      </w:pPr>
      <w:r>
        <w:rPr>
          <w:sz w:val="22"/>
        </w:rPr>
        <w:t>K</w:t>
      </w:r>
      <w:r w:rsidRPr="00BC3268">
        <w:rPr>
          <w:sz w:val="22"/>
        </w:rPr>
        <w:t>omitéen for god Selskabsledelse,</w:t>
      </w:r>
    </w:p>
    <w:p w14:paraId="6078C51A" w14:textId="77777777" w:rsidR="007A11AB" w:rsidRPr="00BC3268" w:rsidRDefault="007A11AB" w:rsidP="007A11AB">
      <w:pPr>
        <w:pStyle w:val="Listeafsnit"/>
        <w:numPr>
          <w:ilvl w:val="0"/>
          <w:numId w:val="1"/>
        </w:numPr>
        <w:tabs>
          <w:tab w:val="left" w:pos="1134"/>
        </w:tabs>
        <w:ind w:left="1134" w:hanging="283"/>
        <w:rPr>
          <w:sz w:val="22"/>
        </w:rPr>
      </w:pPr>
      <w:r w:rsidRPr="00BC3268">
        <w:rPr>
          <w:sz w:val="22"/>
        </w:rPr>
        <w:t>ledelse af erhvervsdrivende fonde,</w:t>
      </w:r>
    </w:p>
    <w:p w14:paraId="142E7334" w14:textId="77777777" w:rsidR="007A11AB" w:rsidRDefault="007A11AB" w:rsidP="007A11AB">
      <w:pPr>
        <w:pStyle w:val="Listeafsnit"/>
        <w:numPr>
          <w:ilvl w:val="0"/>
          <w:numId w:val="1"/>
        </w:numPr>
        <w:tabs>
          <w:tab w:val="left" w:pos="1134"/>
        </w:tabs>
        <w:ind w:left="1134" w:hanging="283"/>
        <w:rPr>
          <w:sz w:val="22"/>
        </w:rPr>
      </w:pPr>
      <w:r w:rsidRPr="00BC3268">
        <w:rPr>
          <w:sz w:val="22"/>
        </w:rPr>
        <w:t>rådgiv</w:t>
      </w:r>
      <w:r>
        <w:rPr>
          <w:sz w:val="22"/>
        </w:rPr>
        <w:t>ning af</w:t>
      </w:r>
      <w:r w:rsidRPr="00BC3268">
        <w:rPr>
          <w:sz w:val="22"/>
        </w:rPr>
        <w:t xml:space="preserve"> erhvervsdrivende fonde, og</w:t>
      </w:r>
    </w:p>
    <w:p w14:paraId="550655ED" w14:textId="77777777" w:rsidR="007A11AB" w:rsidRPr="007A11AB" w:rsidRDefault="007A11AB" w:rsidP="007A11AB">
      <w:pPr>
        <w:pStyle w:val="Listeafsnit"/>
        <w:numPr>
          <w:ilvl w:val="0"/>
          <w:numId w:val="1"/>
        </w:numPr>
        <w:tabs>
          <w:tab w:val="left" w:pos="1134"/>
        </w:tabs>
        <w:ind w:left="1134" w:hanging="283"/>
        <w:rPr>
          <w:sz w:val="22"/>
        </w:rPr>
      </w:pPr>
      <w:r w:rsidRPr="007A11AB">
        <w:rPr>
          <w:sz w:val="22"/>
        </w:rPr>
        <w:t>den akademiske verden indenfor fonds- og selskabsret.</w:t>
      </w:r>
    </w:p>
    <w:p w14:paraId="6F1B3C3D" w14:textId="77777777" w:rsidR="007A11AB" w:rsidRPr="00BC3268" w:rsidRDefault="007A11AB" w:rsidP="007A11AB">
      <w:pPr>
        <w:ind w:left="851"/>
        <w:rPr>
          <w:sz w:val="22"/>
        </w:rPr>
      </w:pPr>
      <w:r w:rsidRPr="00BC3268">
        <w:rPr>
          <w:sz w:val="22"/>
        </w:rPr>
        <w:lastRenderedPageBreak/>
        <w:t>Ved indstillingen og udpegningen skal der være repræsentation fra hver</w:t>
      </w:r>
      <w:r>
        <w:rPr>
          <w:sz w:val="22"/>
        </w:rPr>
        <w:t xml:space="preserve"> af</w:t>
      </w:r>
      <w:r w:rsidRPr="00BC3268">
        <w:rPr>
          <w:sz w:val="22"/>
        </w:rPr>
        <w:t xml:space="preserve"> </w:t>
      </w:r>
      <w:r>
        <w:rPr>
          <w:sz w:val="22"/>
        </w:rPr>
        <w:t xml:space="preserve">ovennævnte kompetencer, </w:t>
      </w:r>
      <w:r w:rsidRPr="00BC3268">
        <w:rPr>
          <w:sz w:val="22"/>
        </w:rPr>
        <w:t xml:space="preserve">idet der dog skal være overvægt af repræsentation fra </w:t>
      </w:r>
      <w:r>
        <w:rPr>
          <w:sz w:val="22"/>
        </w:rPr>
        <w:t>kompetence</w:t>
      </w:r>
      <w:r w:rsidRPr="00BC3268">
        <w:rPr>
          <w:sz w:val="22"/>
        </w:rPr>
        <w:t xml:space="preserve">gruppe </w:t>
      </w:r>
      <w:r>
        <w:rPr>
          <w:sz w:val="22"/>
        </w:rPr>
        <w:t>b</w:t>
      </w:r>
      <w:r w:rsidRPr="00BC3268">
        <w:rPr>
          <w:sz w:val="22"/>
        </w:rPr>
        <w:t>.</w:t>
      </w:r>
      <w:r>
        <w:rPr>
          <w:sz w:val="22"/>
        </w:rPr>
        <w:t xml:space="preserve"> Et medlem af komitéen kan godt </w:t>
      </w:r>
      <w:proofErr w:type="gramStart"/>
      <w:r>
        <w:rPr>
          <w:sz w:val="22"/>
        </w:rPr>
        <w:t>repræsenterer</w:t>
      </w:r>
      <w:proofErr w:type="gramEnd"/>
      <w:r>
        <w:rPr>
          <w:sz w:val="22"/>
        </w:rPr>
        <w:t xml:space="preserve"> flere af ovennævnte kompetencer. </w:t>
      </w:r>
      <w:r w:rsidRPr="00BC3268">
        <w:rPr>
          <w:sz w:val="22"/>
        </w:rPr>
        <w:t xml:space="preserve"> </w:t>
      </w:r>
    </w:p>
    <w:p w14:paraId="02E2D385" w14:textId="77777777" w:rsidR="007A11AB" w:rsidRPr="00BC3268" w:rsidRDefault="007A11AB" w:rsidP="007A11AB">
      <w:pPr>
        <w:ind w:left="851"/>
        <w:rPr>
          <w:sz w:val="22"/>
        </w:rPr>
      </w:pPr>
      <w:r w:rsidRPr="00BC3268">
        <w:rPr>
          <w:sz w:val="22"/>
        </w:rPr>
        <w:t>Medlemmern</w:t>
      </w:r>
      <w:r>
        <w:rPr>
          <w:sz w:val="22"/>
        </w:rPr>
        <w:t>e af kompetencegruppe b skal repræsentere</w:t>
      </w:r>
      <w:r w:rsidRPr="00BC3268">
        <w:rPr>
          <w:sz w:val="22"/>
        </w:rPr>
        <w:t xml:space="preserve"> små, mellemstore og store erhvervsdrivende fonde. </w:t>
      </w:r>
    </w:p>
    <w:p w14:paraId="38352C61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>2.7</w:t>
      </w:r>
      <w:r>
        <w:rPr>
          <w:sz w:val="22"/>
        </w:rPr>
        <w:tab/>
      </w:r>
    </w:p>
    <w:p w14:paraId="73FB6EBB" w14:textId="6FB4D905" w:rsidR="007A11AB" w:rsidRDefault="003C1CD3" w:rsidP="003C1CD3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proofErr w:type="gramStart"/>
      <w:r w:rsidR="007A11AB">
        <w:rPr>
          <w:sz w:val="22"/>
        </w:rPr>
        <w:t>Såfremt</w:t>
      </w:r>
      <w:proofErr w:type="gramEnd"/>
      <w:r w:rsidR="007A11AB">
        <w:rPr>
          <w:sz w:val="22"/>
        </w:rPr>
        <w:t xml:space="preserve"> et medlem af komitéen nedlægger sit hverv, eller har varigt forfald, indstiller de øvrige medlemmer af komitéen hurtigst muligt herefter et nyt medlem til erhvervs- og vækstministeren. Det nye medlem af komitéen er udpeget for den resterende valgperiode. </w:t>
      </w:r>
    </w:p>
    <w:p w14:paraId="0FD3E224" w14:textId="77777777" w:rsidR="007A11AB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4E972943" w14:textId="77777777" w:rsidR="007A11AB" w:rsidRPr="00BC3268" w:rsidRDefault="007A11AB" w:rsidP="007A11AB">
      <w:pPr>
        <w:rPr>
          <w:sz w:val="22"/>
        </w:rPr>
      </w:pPr>
      <w:r w:rsidRPr="00BC3268">
        <w:rPr>
          <w:b/>
          <w:sz w:val="22"/>
        </w:rPr>
        <w:t>3 Opgaver</w:t>
      </w:r>
    </w:p>
    <w:p w14:paraId="35C74873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3.1</w:t>
      </w:r>
      <w:r w:rsidRPr="00BC3268">
        <w:rPr>
          <w:sz w:val="22"/>
        </w:rPr>
        <w:tab/>
      </w:r>
    </w:p>
    <w:p w14:paraId="1816D34C" w14:textId="39333932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Komitéen skal</w:t>
      </w:r>
      <w:r w:rsidR="007A11AB">
        <w:rPr>
          <w:sz w:val="22"/>
        </w:rPr>
        <w:t xml:space="preserve">, foruden udarbejdelsen af et sæt Anbefalinger for god Fondsledelse, </w:t>
      </w:r>
      <w:r w:rsidR="007A11AB" w:rsidRPr="00BC3268">
        <w:rPr>
          <w:sz w:val="22"/>
        </w:rPr>
        <w:t xml:space="preserve">primært </w:t>
      </w:r>
      <w:r w:rsidR="007A11AB">
        <w:rPr>
          <w:sz w:val="22"/>
        </w:rPr>
        <w:t xml:space="preserve">– men ikke udelukkende –  </w:t>
      </w:r>
    </w:p>
    <w:p w14:paraId="3EB4C9ED" w14:textId="77777777" w:rsidR="007A11AB" w:rsidRDefault="007A11AB" w:rsidP="007A11AB">
      <w:pPr>
        <w:pStyle w:val="Listeafsnit"/>
        <w:numPr>
          <w:ilvl w:val="0"/>
          <w:numId w:val="2"/>
        </w:numPr>
        <w:tabs>
          <w:tab w:val="left" w:pos="1134"/>
        </w:tabs>
        <w:ind w:left="1134" w:hanging="283"/>
        <w:rPr>
          <w:sz w:val="22"/>
        </w:rPr>
      </w:pPr>
      <w:r w:rsidRPr="00BC3268">
        <w:rPr>
          <w:sz w:val="22"/>
        </w:rPr>
        <w:t>tilstræbe kontinuitet i arbejdet med god fondsledelse i Danmark,</w:t>
      </w:r>
    </w:p>
    <w:p w14:paraId="38B34F3B" w14:textId="77777777" w:rsidR="007A11AB" w:rsidRPr="00BC3268" w:rsidRDefault="007A11AB" w:rsidP="007A11AB">
      <w:pPr>
        <w:pStyle w:val="Listeafsnit"/>
        <w:numPr>
          <w:ilvl w:val="0"/>
          <w:numId w:val="2"/>
        </w:numPr>
        <w:tabs>
          <w:tab w:val="left" w:pos="1134"/>
        </w:tabs>
        <w:ind w:left="1134" w:hanging="283"/>
        <w:rPr>
          <w:sz w:val="22"/>
        </w:rPr>
      </w:pPr>
      <w:r>
        <w:rPr>
          <w:sz w:val="22"/>
        </w:rPr>
        <w:t>sikre, at ”</w:t>
      </w:r>
      <w:proofErr w:type="spellStart"/>
      <w:r>
        <w:rPr>
          <w:sz w:val="22"/>
        </w:rPr>
        <w:t>best</w:t>
      </w:r>
      <w:proofErr w:type="spellEnd"/>
      <w:r>
        <w:rPr>
          <w:sz w:val="22"/>
        </w:rPr>
        <w:t xml:space="preserve"> practice” indenfor ledelsen af de erhvervsdrivende fonde bringes op til drøftelse i komiteen, </w:t>
      </w:r>
    </w:p>
    <w:p w14:paraId="51F364DF" w14:textId="77777777" w:rsidR="007A11AB" w:rsidRDefault="007A11AB" w:rsidP="007A11AB">
      <w:pPr>
        <w:pStyle w:val="Listeafsnit"/>
        <w:numPr>
          <w:ilvl w:val="0"/>
          <w:numId w:val="2"/>
        </w:numPr>
        <w:tabs>
          <w:tab w:val="left" w:pos="1134"/>
        </w:tabs>
        <w:ind w:left="1134" w:hanging="283"/>
        <w:rPr>
          <w:sz w:val="22"/>
        </w:rPr>
      </w:pPr>
      <w:r w:rsidRPr="00BC3268">
        <w:rPr>
          <w:sz w:val="22"/>
        </w:rPr>
        <w:t>tilstræbe, at de erhvervsdrivende fonde har rimelige og hensigtsmæssige betingelser og vilkår til at tilpasse sig de til enhver tid gældende Anbefalinger for god Fondsledelse,</w:t>
      </w:r>
    </w:p>
    <w:p w14:paraId="0171A212" w14:textId="77777777" w:rsidR="007A11AB" w:rsidRDefault="007A11AB" w:rsidP="007A11AB">
      <w:pPr>
        <w:pStyle w:val="Listeafsnit"/>
        <w:numPr>
          <w:ilvl w:val="0"/>
          <w:numId w:val="2"/>
        </w:numPr>
        <w:tabs>
          <w:tab w:val="left" w:pos="1134"/>
        </w:tabs>
        <w:ind w:left="1134" w:hanging="283"/>
        <w:rPr>
          <w:sz w:val="22"/>
        </w:rPr>
      </w:pPr>
      <w:r w:rsidRPr="00BC3268">
        <w:rPr>
          <w:sz w:val="22"/>
        </w:rPr>
        <w:t xml:space="preserve">indsamle de synspunkter og erfaringer fra de erhvervsdrivende fonde, som fremkommer i relation til deres arbejde med Anbefalinger for god Fondsledelse, </w:t>
      </w:r>
    </w:p>
    <w:p w14:paraId="7F6344F5" w14:textId="77777777" w:rsidR="007A11AB" w:rsidRDefault="007A11AB" w:rsidP="007A11AB">
      <w:pPr>
        <w:pStyle w:val="Listeafsnit"/>
        <w:numPr>
          <w:ilvl w:val="0"/>
          <w:numId w:val="2"/>
        </w:numPr>
        <w:tabs>
          <w:tab w:val="left" w:pos="1134"/>
        </w:tabs>
        <w:ind w:left="1134" w:hanging="283"/>
        <w:rPr>
          <w:sz w:val="22"/>
        </w:rPr>
      </w:pPr>
      <w:r w:rsidRPr="00BC3268">
        <w:rPr>
          <w:sz w:val="22"/>
        </w:rPr>
        <w:t>iværksætte og støtte empiriske undersøgelse</w:t>
      </w:r>
      <w:r>
        <w:rPr>
          <w:sz w:val="22"/>
        </w:rPr>
        <w:t>r</w:t>
      </w:r>
      <w:r w:rsidRPr="00BC3268">
        <w:rPr>
          <w:sz w:val="22"/>
        </w:rPr>
        <w:t xml:space="preserve"> indenfor god fondsledelse</w:t>
      </w:r>
      <w:r>
        <w:rPr>
          <w:sz w:val="22"/>
        </w:rPr>
        <w:t>, og</w:t>
      </w:r>
    </w:p>
    <w:p w14:paraId="1E596298" w14:textId="77777777" w:rsidR="007A11AB" w:rsidRPr="00335170" w:rsidRDefault="007A11AB" w:rsidP="007A11AB">
      <w:pPr>
        <w:pStyle w:val="Listeafsnit"/>
        <w:numPr>
          <w:ilvl w:val="0"/>
          <w:numId w:val="2"/>
        </w:numPr>
        <w:tabs>
          <w:tab w:val="left" w:pos="1134"/>
        </w:tabs>
        <w:ind w:left="1134" w:hanging="283"/>
        <w:rPr>
          <w:sz w:val="22"/>
        </w:rPr>
      </w:pPr>
      <w:r>
        <w:rPr>
          <w:sz w:val="22"/>
        </w:rPr>
        <w:t xml:space="preserve">med passende mellemrum, og efter forudgående relevant høring, at tilpasse anbefalingerne med henblik på at de til stadighed ud fra en samlet vurdering er hensigtsmæssige for de erhvervsdrivende fonde, i overensstemmelse med dansk og </w:t>
      </w:r>
      <w:proofErr w:type="gramStart"/>
      <w:r>
        <w:rPr>
          <w:sz w:val="22"/>
        </w:rPr>
        <w:t>EU lovgivning</w:t>
      </w:r>
      <w:proofErr w:type="gramEnd"/>
      <w:r>
        <w:rPr>
          <w:sz w:val="22"/>
        </w:rPr>
        <w:t>, og lever op til anerkendt "</w:t>
      </w:r>
      <w:proofErr w:type="spellStart"/>
      <w:r>
        <w:rPr>
          <w:sz w:val="22"/>
        </w:rPr>
        <w:t>best</w:t>
      </w:r>
      <w:proofErr w:type="spellEnd"/>
      <w:r>
        <w:rPr>
          <w:sz w:val="22"/>
        </w:rPr>
        <w:t xml:space="preserve"> practice".</w:t>
      </w:r>
    </w:p>
    <w:p w14:paraId="66281C56" w14:textId="77777777" w:rsidR="007A11AB" w:rsidRDefault="007A11AB" w:rsidP="007A11AB">
      <w:pPr>
        <w:pStyle w:val="Listeafsnit"/>
        <w:tabs>
          <w:tab w:val="left" w:pos="1134"/>
        </w:tabs>
        <w:ind w:left="1134"/>
        <w:rPr>
          <w:sz w:val="22"/>
        </w:rPr>
      </w:pPr>
      <w:r w:rsidRPr="001D3DED" w:rsidDel="001D3DED">
        <w:rPr>
          <w:sz w:val="22"/>
        </w:rPr>
        <w:t xml:space="preserve"> </w:t>
      </w:r>
    </w:p>
    <w:p w14:paraId="2BD3F525" w14:textId="77777777" w:rsidR="007A11AB" w:rsidRPr="00BA6D25" w:rsidRDefault="007A11AB" w:rsidP="007A11AB">
      <w:pPr>
        <w:pStyle w:val="Listeafsnit"/>
        <w:tabs>
          <w:tab w:val="left" w:pos="851"/>
        </w:tabs>
        <w:ind w:left="851"/>
        <w:rPr>
          <w:sz w:val="22"/>
        </w:rPr>
      </w:pPr>
      <w:proofErr w:type="gramStart"/>
      <w:r w:rsidRPr="00132458">
        <w:rPr>
          <w:sz w:val="22"/>
        </w:rPr>
        <w:t>Endvidere</w:t>
      </w:r>
      <w:proofErr w:type="gramEnd"/>
      <w:r w:rsidRPr="00132458">
        <w:rPr>
          <w:sz w:val="22"/>
        </w:rPr>
        <w:t xml:space="preserve"> kan komitéen</w:t>
      </w:r>
      <w:r>
        <w:rPr>
          <w:sz w:val="22"/>
        </w:rPr>
        <w:t>,</w:t>
      </w:r>
      <w:r w:rsidRPr="00132458">
        <w:rPr>
          <w:sz w:val="22"/>
        </w:rPr>
        <w:t xml:space="preserve"> i det omfang der er behov herfor</w:t>
      </w:r>
      <w:r>
        <w:rPr>
          <w:sz w:val="22"/>
        </w:rPr>
        <w:t>,</w:t>
      </w:r>
      <w:r w:rsidRPr="00132458">
        <w:rPr>
          <w:sz w:val="22"/>
        </w:rPr>
        <w:t xml:space="preserve"> og </w:t>
      </w:r>
      <w:r>
        <w:rPr>
          <w:sz w:val="22"/>
        </w:rPr>
        <w:t xml:space="preserve">det er af relevans for komitéen, indgå i netværk i EU og i international sammenhæng i relation til god fondsledelse, følge udviklingen i god selskabsledelse nationalt og internationalt samt høres/afgive høringssvar i forbindelse med relevante lovforslag. </w:t>
      </w:r>
    </w:p>
    <w:p w14:paraId="1BE67265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3.2</w:t>
      </w:r>
      <w:r w:rsidRPr="00BC3268">
        <w:rPr>
          <w:sz w:val="22"/>
        </w:rPr>
        <w:tab/>
      </w:r>
    </w:p>
    <w:p w14:paraId="7D70677A" w14:textId="72BF47E2" w:rsidR="007A11AB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Komitéen er i sit virke uafhængig</w:t>
      </w:r>
      <w:r w:rsidR="007A11AB">
        <w:rPr>
          <w:sz w:val="22"/>
        </w:rPr>
        <w:t>,</w:t>
      </w:r>
      <w:r w:rsidR="007A11AB" w:rsidRPr="00BC3268">
        <w:rPr>
          <w:sz w:val="22"/>
        </w:rPr>
        <w:t xml:space="preserve"> og er således ikke underlagt instruksbeføjelser, kontrol eller lignende fra Erhvervs- og Vækstministeriets eller andres side. </w:t>
      </w:r>
    </w:p>
    <w:p w14:paraId="5C3EA7C2" w14:textId="0736006E" w:rsidR="007A11AB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3DBB21F3" w14:textId="77777777" w:rsidR="002E54E4" w:rsidRDefault="002E54E4" w:rsidP="007A11AB">
      <w:pPr>
        <w:tabs>
          <w:tab w:val="left" w:pos="851"/>
        </w:tabs>
        <w:ind w:left="851" w:hanging="851"/>
        <w:rPr>
          <w:sz w:val="22"/>
        </w:rPr>
      </w:pPr>
    </w:p>
    <w:p w14:paraId="4F12E812" w14:textId="77777777" w:rsidR="003C1CD3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</w:p>
    <w:p w14:paraId="6AB6A1CE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b/>
          <w:sz w:val="22"/>
        </w:rPr>
        <w:lastRenderedPageBreak/>
        <w:t>4</w:t>
      </w:r>
      <w:r w:rsidRPr="00BC3268">
        <w:rPr>
          <w:sz w:val="22"/>
        </w:rPr>
        <w:t xml:space="preserve"> </w:t>
      </w:r>
      <w:r w:rsidRPr="00BC3268">
        <w:rPr>
          <w:b/>
          <w:sz w:val="22"/>
        </w:rPr>
        <w:t>Formanden og næstformanden</w:t>
      </w:r>
    </w:p>
    <w:p w14:paraId="6B8579C8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4.1</w:t>
      </w:r>
      <w:r w:rsidRPr="00BC3268">
        <w:rPr>
          <w:sz w:val="22"/>
        </w:rPr>
        <w:tab/>
      </w:r>
    </w:p>
    <w:p w14:paraId="7B6A3DFD" w14:textId="7A9DCB9D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>
        <w:rPr>
          <w:sz w:val="22"/>
        </w:rPr>
        <w:t>Erhvervs- og vækstministeren udpeger komitéens formand. Komitéen vælger med almindeligt stemmeflertal næstformanden.</w:t>
      </w:r>
    </w:p>
    <w:p w14:paraId="51351ED0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4.2</w:t>
      </w:r>
      <w:r w:rsidRPr="00BC3268">
        <w:rPr>
          <w:sz w:val="22"/>
        </w:rPr>
        <w:tab/>
      </w:r>
    </w:p>
    <w:p w14:paraId="35D9112A" w14:textId="7DEC02C7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Formanden kan ikke være formand for Komitéen for god Selskabsledelse. </w:t>
      </w:r>
    </w:p>
    <w:p w14:paraId="1D14846F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4.</w:t>
      </w:r>
      <w:r>
        <w:rPr>
          <w:sz w:val="22"/>
        </w:rPr>
        <w:t>3</w:t>
      </w:r>
      <w:r w:rsidRPr="00BC3268">
        <w:rPr>
          <w:sz w:val="22"/>
        </w:rPr>
        <w:tab/>
      </w:r>
    </w:p>
    <w:p w14:paraId="637454A4" w14:textId="37294920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Formanden tilrettelægger og leder komitéens arbejde og sikrer, at komitéens opgaver varetages på bedst mulig måde.</w:t>
      </w:r>
    </w:p>
    <w:p w14:paraId="7DE9129A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>4.4</w:t>
      </w:r>
      <w:r w:rsidRPr="00BC3268">
        <w:rPr>
          <w:sz w:val="22"/>
        </w:rPr>
        <w:tab/>
      </w:r>
    </w:p>
    <w:p w14:paraId="00E0165C" w14:textId="717BA69D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Formanden varetager på komitéens vegne den løbende kontakt mellem komitéen og sekretariatet.</w:t>
      </w:r>
    </w:p>
    <w:p w14:paraId="26459A00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>4.5</w:t>
      </w:r>
      <w:r w:rsidRPr="00BC3268">
        <w:rPr>
          <w:sz w:val="22"/>
        </w:rPr>
        <w:tab/>
      </w:r>
    </w:p>
    <w:p w14:paraId="2FC687C9" w14:textId="5731B12A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Formanden repræsenterer komitéen udadtil. Eventuelle udtalelser på komitéens vegne afgives af formanden, medmindre andet er aftalt. </w:t>
      </w:r>
    </w:p>
    <w:p w14:paraId="476A1B1A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>4.6</w:t>
      </w:r>
      <w:r w:rsidRPr="00BC3268">
        <w:rPr>
          <w:sz w:val="22"/>
        </w:rPr>
        <w:tab/>
      </w:r>
    </w:p>
    <w:p w14:paraId="6FDEAFF5" w14:textId="54434F14" w:rsidR="007A11AB" w:rsidRDefault="003C1CD3" w:rsidP="003C1CD3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I tilfælde af formandens fravær varetages formandens opgaver af næstformanden. </w:t>
      </w:r>
    </w:p>
    <w:p w14:paraId="6C1FB676" w14:textId="77777777" w:rsidR="003C1CD3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</w:p>
    <w:p w14:paraId="4D114DCD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b/>
          <w:sz w:val="22"/>
        </w:rPr>
        <w:t>5 Møder</w:t>
      </w:r>
    </w:p>
    <w:p w14:paraId="02D339A4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 xml:space="preserve">5.1 </w:t>
      </w:r>
      <w:r w:rsidRPr="00BC3268">
        <w:rPr>
          <w:sz w:val="22"/>
        </w:rPr>
        <w:tab/>
      </w:r>
    </w:p>
    <w:p w14:paraId="2BE29ECB" w14:textId="7C5702CB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Der afholdes ordinært møde mindst </w:t>
      </w:r>
      <w:r w:rsidR="007A11AB">
        <w:rPr>
          <w:sz w:val="22"/>
        </w:rPr>
        <w:t>to</w:t>
      </w:r>
      <w:r w:rsidR="007A11AB" w:rsidRPr="00BC3268">
        <w:rPr>
          <w:sz w:val="22"/>
        </w:rPr>
        <w:t xml:space="preserve"> gange om året. </w:t>
      </w:r>
    </w:p>
    <w:p w14:paraId="2900187A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5.2</w:t>
      </w:r>
      <w:r w:rsidRPr="00BC3268">
        <w:rPr>
          <w:sz w:val="22"/>
        </w:rPr>
        <w:tab/>
      </w:r>
    </w:p>
    <w:p w14:paraId="2FF2AC1C" w14:textId="03B7CE54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Komitéen afholder derudover møde, når formanden eller </w:t>
      </w:r>
      <w:r w:rsidR="007A11AB">
        <w:rPr>
          <w:sz w:val="22"/>
        </w:rPr>
        <w:t xml:space="preserve">to </w:t>
      </w:r>
      <w:r w:rsidR="007A11AB" w:rsidRPr="00BC3268">
        <w:rPr>
          <w:sz w:val="22"/>
        </w:rPr>
        <w:t xml:space="preserve">medlemmer finder det </w:t>
      </w:r>
      <w:proofErr w:type="gramStart"/>
      <w:r w:rsidR="007A11AB" w:rsidRPr="00BC3268">
        <w:rPr>
          <w:sz w:val="22"/>
        </w:rPr>
        <w:t>fornødent</w:t>
      </w:r>
      <w:proofErr w:type="gramEnd"/>
      <w:r w:rsidR="007A11AB" w:rsidRPr="00BC3268">
        <w:rPr>
          <w:sz w:val="22"/>
        </w:rPr>
        <w:t xml:space="preserve">. </w:t>
      </w:r>
    </w:p>
    <w:p w14:paraId="1ABE39E8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5.3</w:t>
      </w:r>
      <w:r w:rsidRPr="00BC3268">
        <w:rPr>
          <w:sz w:val="22"/>
        </w:rPr>
        <w:tab/>
      </w:r>
    </w:p>
    <w:p w14:paraId="0BC18A43" w14:textId="0EC04B68" w:rsidR="007A11AB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Komitéens møder afholdes hos Erhvervsstyrelsen eller et andet af formanden a</w:t>
      </w:r>
      <w:r w:rsidR="007A11AB">
        <w:rPr>
          <w:sz w:val="22"/>
        </w:rPr>
        <w:t>n</w:t>
      </w:r>
      <w:r w:rsidR="007A11AB" w:rsidRPr="00BC3268">
        <w:rPr>
          <w:sz w:val="22"/>
        </w:rPr>
        <w:t>givet sted.</w:t>
      </w:r>
    </w:p>
    <w:p w14:paraId="54AE47A2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5.4</w:t>
      </w:r>
      <w:r w:rsidRPr="00BC3268">
        <w:rPr>
          <w:sz w:val="22"/>
        </w:rPr>
        <w:tab/>
      </w:r>
    </w:p>
    <w:p w14:paraId="1AE1E8E2" w14:textId="4DFD38B1" w:rsidR="007A11AB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Møder kan afholdes ved anvendelse af elektroniske medier i det omfang, dette er foreneligt med udførelsen af komitéens opgaver. Uanset bestemmelsen i 1. punkt kan et medlem af komitéen dog forlange, at møde skal afholdes ved fysisk fremmøde. </w:t>
      </w:r>
    </w:p>
    <w:p w14:paraId="0674C99A" w14:textId="77777777" w:rsidR="00014EC5" w:rsidRDefault="00014EC5" w:rsidP="007A11AB">
      <w:pPr>
        <w:tabs>
          <w:tab w:val="left" w:pos="851"/>
        </w:tabs>
        <w:ind w:left="851" w:hanging="851"/>
        <w:rPr>
          <w:sz w:val="22"/>
        </w:rPr>
      </w:pPr>
      <w:bookmarkStart w:id="0" w:name="_GoBack"/>
      <w:bookmarkEnd w:id="0"/>
    </w:p>
    <w:p w14:paraId="027E7285" w14:textId="77777777" w:rsidR="003C1CD3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lastRenderedPageBreak/>
        <w:t>5.5</w:t>
      </w:r>
      <w:r w:rsidRPr="00BC3268">
        <w:rPr>
          <w:sz w:val="22"/>
        </w:rPr>
        <w:tab/>
      </w:r>
    </w:p>
    <w:p w14:paraId="67AFF6F2" w14:textId="47FBFF34" w:rsidR="007A11AB" w:rsidRDefault="003C1CD3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Formanden </w:t>
      </w:r>
      <w:r w:rsidR="007A11AB">
        <w:rPr>
          <w:sz w:val="22"/>
        </w:rPr>
        <w:t>sikrer</w:t>
      </w:r>
      <w:r w:rsidR="007A11AB" w:rsidRPr="00BC3268">
        <w:rPr>
          <w:sz w:val="22"/>
        </w:rPr>
        <w:t xml:space="preserve">, at der føres referat af forhandlinger og beslutninger. Komitéens medlemmer skal snarest efter mødet have tilsendt referatet til godkendelse. </w:t>
      </w:r>
    </w:p>
    <w:p w14:paraId="18E95A84" w14:textId="77777777" w:rsidR="003C1CD3" w:rsidRPr="00BC3268" w:rsidRDefault="003C1CD3" w:rsidP="007A11AB">
      <w:pPr>
        <w:tabs>
          <w:tab w:val="left" w:pos="851"/>
        </w:tabs>
        <w:ind w:left="851" w:hanging="851"/>
        <w:rPr>
          <w:sz w:val="22"/>
        </w:rPr>
      </w:pPr>
    </w:p>
    <w:p w14:paraId="27C6CB38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b/>
          <w:sz w:val="22"/>
        </w:rPr>
        <w:t>6 Indkaldelse</w:t>
      </w:r>
    </w:p>
    <w:p w14:paraId="6962E3C0" w14:textId="77777777" w:rsidR="001660B9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6.1</w:t>
      </w:r>
      <w:r w:rsidRPr="00BC3268">
        <w:rPr>
          <w:sz w:val="22"/>
        </w:rPr>
        <w:tab/>
      </w:r>
    </w:p>
    <w:p w14:paraId="106EEAFA" w14:textId="11C82534" w:rsidR="007A11AB" w:rsidRPr="00BC3268" w:rsidRDefault="001660B9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Møder indkaldes </w:t>
      </w:r>
      <w:r w:rsidR="007A11AB">
        <w:rPr>
          <w:sz w:val="22"/>
        </w:rPr>
        <w:t xml:space="preserve">som udgangspunkt </w:t>
      </w:r>
      <w:r w:rsidR="007A11AB" w:rsidRPr="00BC3268">
        <w:rPr>
          <w:sz w:val="22"/>
        </w:rPr>
        <w:t xml:space="preserve">med mindst 8 dages skriftligt varsel med angivelse af dagsorden. Indkaldelsen kan ske per mail. </w:t>
      </w:r>
    </w:p>
    <w:p w14:paraId="330C81A5" w14:textId="77777777" w:rsidR="001660B9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6.2</w:t>
      </w:r>
      <w:r w:rsidRPr="00BC3268">
        <w:rPr>
          <w:sz w:val="22"/>
        </w:rPr>
        <w:tab/>
      </w:r>
    </w:p>
    <w:p w14:paraId="0A39452D" w14:textId="01D652BD" w:rsidR="007A11AB" w:rsidRPr="00BC3268" w:rsidRDefault="001660B9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Varslet til møder kan forkortes efter formandens beslutning, når spørgsmål kræver en hurtigere behandling. </w:t>
      </w:r>
    </w:p>
    <w:p w14:paraId="154E0B84" w14:textId="77777777" w:rsidR="001660B9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6.3</w:t>
      </w:r>
      <w:r w:rsidRPr="00BC3268">
        <w:rPr>
          <w:sz w:val="22"/>
        </w:rPr>
        <w:tab/>
      </w:r>
    </w:p>
    <w:p w14:paraId="521F8658" w14:textId="6E1C7BA0" w:rsidR="007A11AB" w:rsidRPr="00BC3268" w:rsidRDefault="001660B9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Indkaldelsen skal ledsages af eller senere suppleres med nødvendigt materiale som grundlag for komitéens stillingtagen.</w:t>
      </w:r>
    </w:p>
    <w:p w14:paraId="1E71C440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0D827C68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b/>
          <w:sz w:val="22"/>
        </w:rPr>
        <w:t xml:space="preserve">7 Mødeledelse, </w:t>
      </w:r>
      <w:proofErr w:type="spellStart"/>
      <w:r w:rsidRPr="00BC3268">
        <w:rPr>
          <w:b/>
          <w:sz w:val="22"/>
        </w:rPr>
        <w:t>quorum</w:t>
      </w:r>
      <w:proofErr w:type="spellEnd"/>
      <w:r w:rsidRPr="00BC3268">
        <w:rPr>
          <w:b/>
          <w:sz w:val="22"/>
        </w:rPr>
        <w:t xml:space="preserve"> og afstemning</w:t>
      </w:r>
    </w:p>
    <w:p w14:paraId="0C6015FF" w14:textId="77777777" w:rsidR="001660B9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7.1</w:t>
      </w:r>
      <w:r w:rsidRPr="00BC3268">
        <w:rPr>
          <w:sz w:val="22"/>
        </w:rPr>
        <w:tab/>
      </w:r>
    </w:p>
    <w:p w14:paraId="61EB5B40" w14:textId="5D389D05" w:rsidR="007A11AB" w:rsidRDefault="001660B9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Formanden leder komitéens møder</w:t>
      </w:r>
      <w:r w:rsidR="007A11AB">
        <w:rPr>
          <w:sz w:val="22"/>
        </w:rPr>
        <w:t>, og i dennes fravær, ledes møderne af næstformanden.</w:t>
      </w:r>
    </w:p>
    <w:p w14:paraId="696F4231" w14:textId="77777777" w:rsidR="001660B9" w:rsidRDefault="007A11AB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>7.2</w:t>
      </w:r>
      <w:r>
        <w:rPr>
          <w:sz w:val="22"/>
        </w:rPr>
        <w:tab/>
      </w:r>
    </w:p>
    <w:p w14:paraId="1D188C4E" w14:textId="6C4B4D48" w:rsidR="007A11AB" w:rsidRPr="00BC3268" w:rsidRDefault="001660B9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>
        <w:rPr>
          <w:sz w:val="22"/>
        </w:rPr>
        <w:t xml:space="preserve">Møder i komitéen er ikke offentlige. </w:t>
      </w:r>
    </w:p>
    <w:p w14:paraId="42C9B644" w14:textId="77777777" w:rsidR="001660B9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7.</w:t>
      </w:r>
      <w:r>
        <w:rPr>
          <w:sz w:val="22"/>
        </w:rPr>
        <w:t>3</w:t>
      </w:r>
      <w:r w:rsidRPr="00BC3268">
        <w:rPr>
          <w:sz w:val="22"/>
        </w:rPr>
        <w:tab/>
      </w:r>
    </w:p>
    <w:p w14:paraId="51CB4EF2" w14:textId="4F62223F" w:rsidR="007A11AB" w:rsidRPr="00BC3268" w:rsidRDefault="001660B9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Komitéen er beslutningsdygtig, når mindst halvdelen af medlemmerne, herunder formanden eller næstformanden, er til stede.  </w:t>
      </w:r>
    </w:p>
    <w:p w14:paraId="16CE0FC4" w14:textId="77777777" w:rsidR="001660B9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7.</w:t>
      </w:r>
      <w:r>
        <w:rPr>
          <w:sz w:val="22"/>
        </w:rPr>
        <w:t>4</w:t>
      </w:r>
      <w:r w:rsidRPr="00BC3268">
        <w:rPr>
          <w:sz w:val="22"/>
        </w:rPr>
        <w:tab/>
      </w:r>
    </w:p>
    <w:p w14:paraId="7FA0861B" w14:textId="7A3F7DA9" w:rsidR="007A11AB" w:rsidRPr="00BC3268" w:rsidRDefault="001660B9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Komitéen træffer sine beslutninger med mindst 2/3 flertal blandt de fremmødte. </w:t>
      </w:r>
    </w:p>
    <w:p w14:paraId="55FAB077" w14:textId="77777777" w:rsidR="001660B9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7.</w:t>
      </w:r>
      <w:r>
        <w:rPr>
          <w:sz w:val="22"/>
        </w:rPr>
        <w:t>5</w:t>
      </w:r>
      <w:r w:rsidRPr="00BC3268">
        <w:rPr>
          <w:sz w:val="22"/>
        </w:rPr>
        <w:tab/>
      </w:r>
    </w:p>
    <w:p w14:paraId="4C45C51A" w14:textId="0D50A777" w:rsidR="007A11AB" w:rsidRPr="00BC3268" w:rsidRDefault="001660B9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Komitéen kan beslutte at lade særligt sagkyndige deltage i komitéens møder.</w:t>
      </w:r>
    </w:p>
    <w:p w14:paraId="7385C212" w14:textId="77777777" w:rsidR="001660B9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7.</w:t>
      </w:r>
      <w:r>
        <w:rPr>
          <w:sz w:val="22"/>
        </w:rPr>
        <w:t>6</w:t>
      </w:r>
      <w:r w:rsidRPr="00BC3268">
        <w:rPr>
          <w:sz w:val="22"/>
        </w:rPr>
        <w:tab/>
      </w:r>
    </w:p>
    <w:p w14:paraId="2BA743B3" w14:textId="6D73124A" w:rsidR="007A11AB" w:rsidRDefault="001660B9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>
        <w:rPr>
          <w:sz w:val="22"/>
        </w:rPr>
        <w:t xml:space="preserve">Et medlem kan ikke give fuldmagt til et andet medlem eller andre til at repræsentere førstnævnte på møder i komiteen. </w:t>
      </w:r>
    </w:p>
    <w:p w14:paraId="3D1620F9" w14:textId="77777777" w:rsidR="001660B9" w:rsidRDefault="007A11AB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lastRenderedPageBreak/>
        <w:t xml:space="preserve">7.7 </w:t>
      </w:r>
      <w:r>
        <w:rPr>
          <w:sz w:val="22"/>
        </w:rPr>
        <w:tab/>
      </w:r>
    </w:p>
    <w:p w14:paraId="554132F6" w14:textId="40B61488" w:rsidR="007A11AB" w:rsidRDefault="001660B9" w:rsidP="002E54E4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Komitéen kan ved en forretningsorden træffe nærmere bestemmelse om sit arbejde. </w:t>
      </w:r>
    </w:p>
    <w:p w14:paraId="414CE34E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3DB8FC4E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b/>
          <w:sz w:val="22"/>
        </w:rPr>
        <w:t>8 Tavshedspligt</w:t>
      </w:r>
    </w:p>
    <w:p w14:paraId="6B6910E3" w14:textId="77777777" w:rsidR="00AD500E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8.1</w:t>
      </w:r>
      <w:r w:rsidRPr="00BC3268">
        <w:rPr>
          <w:sz w:val="22"/>
        </w:rPr>
        <w:tab/>
      </w:r>
    </w:p>
    <w:p w14:paraId="7CB4156C" w14:textId="38B9C4DC" w:rsidR="007A11AB" w:rsidRDefault="00AD500E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Komitéens medlemmer kan i deres egenskab af medlemmer af komitéen få kendskab til forhold, der er underlagt tavshedspligt, herunder intern viden og forretningshemmeligheder. Sådanne oplysninger må ikke videregives af det pågældende medlem. </w:t>
      </w:r>
    </w:p>
    <w:p w14:paraId="3F9B7FEB" w14:textId="77777777" w:rsidR="00AD500E" w:rsidRDefault="007A11AB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>8.2</w:t>
      </w:r>
      <w:r>
        <w:rPr>
          <w:sz w:val="22"/>
        </w:rPr>
        <w:tab/>
      </w:r>
    </w:p>
    <w:p w14:paraId="23A6CF51" w14:textId="4B872406" w:rsidR="007A11AB" w:rsidRPr="00BC3268" w:rsidRDefault="00AD500E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>
        <w:rPr>
          <w:sz w:val="22"/>
        </w:rPr>
        <w:t xml:space="preserve">Et medlem af komitéen skal opbevare alt materiale, der i anledning af hvervet som medlem af komitéen tilstilles denne, på forsvarlig måde, så ingen uvedkommende har adgang til det. Ved fratræden skal et medlem aflevere alt udleveret materiale til sekretariatet. </w:t>
      </w:r>
    </w:p>
    <w:p w14:paraId="516C0C4C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3920B074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b/>
          <w:sz w:val="22"/>
        </w:rPr>
        <w:t>9 Sekretariat</w:t>
      </w:r>
    </w:p>
    <w:p w14:paraId="0820201B" w14:textId="77777777" w:rsidR="00AD500E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9.1</w:t>
      </w:r>
      <w:r w:rsidRPr="00BC3268">
        <w:rPr>
          <w:sz w:val="22"/>
        </w:rPr>
        <w:tab/>
      </w:r>
    </w:p>
    <w:p w14:paraId="361E1ABF" w14:textId="537C4F06" w:rsidR="007A11AB" w:rsidRPr="00BC3268" w:rsidRDefault="00AD500E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Erhvervsstyrelsen stiller sekretariatsbistand til rådighed for komitéen som led i udførelsen af de i pkt. 3.1 nævnte opgaver.</w:t>
      </w:r>
    </w:p>
    <w:p w14:paraId="3BF4EB9A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3DFF4119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b/>
          <w:sz w:val="22"/>
        </w:rPr>
        <w:t>10 Økonomi</w:t>
      </w:r>
    </w:p>
    <w:p w14:paraId="1E95B365" w14:textId="77777777" w:rsidR="00AD500E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10.1</w:t>
      </w:r>
      <w:r w:rsidRPr="00BC3268">
        <w:rPr>
          <w:sz w:val="22"/>
        </w:rPr>
        <w:tab/>
      </w:r>
    </w:p>
    <w:p w14:paraId="047120DF" w14:textId="700FDAD7" w:rsidR="007A11AB" w:rsidRDefault="00AD500E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 xml:space="preserve">Erhvervsstyrelsen afholder omkostningerne i forbindelse med komitéens virksomhed. </w:t>
      </w:r>
    </w:p>
    <w:p w14:paraId="0306B4C0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3350E3E5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b/>
          <w:sz w:val="22"/>
        </w:rPr>
        <w:t>11 Vedtægtsændringer og opløsning</w:t>
      </w:r>
    </w:p>
    <w:p w14:paraId="34B2BF9B" w14:textId="77777777" w:rsidR="00AD500E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>11.1</w:t>
      </w:r>
      <w:r w:rsidRPr="00BC3268">
        <w:rPr>
          <w:sz w:val="22"/>
        </w:rPr>
        <w:tab/>
      </w:r>
    </w:p>
    <w:p w14:paraId="4143A03C" w14:textId="486D69A9" w:rsidR="007A11AB" w:rsidRPr="00BC3268" w:rsidRDefault="00AD500E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ab/>
      </w:r>
      <w:r w:rsidR="007A11AB" w:rsidRPr="00BC3268">
        <w:rPr>
          <w:sz w:val="22"/>
        </w:rPr>
        <w:t>Ændring af disse vedtægter forudsætter, at komitéen træffer beslutning herom med mindst 2/3’s flertal blandt</w:t>
      </w:r>
      <w:r w:rsidR="007A11AB">
        <w:rPr>
          <w:sz w:val="22"/>
        </w:rPr>
        <w:t xml:space="preserve"> komiteens medlemmer</w:t>
      </w:r>
      <w:r w:rsidR="007A11AB" w:rsidRPr="00BC3268">
        <w:rPr>
          <w:sz w:val="22"/>
        </w:rPr>
        <w:t xml:space="preserve">, og at ændringerne godkendes af </w:t>
      </w:r>
      <w:r w:rsidR="007A11AB">
        <w:rPr>
          <w:sz w:val="22"/>
        </w:rPr>
        <w:t>e</w:t>
      </w:r>
      <w:r w:rsidR="007A11AB" w:rsidRPr="00BC3268">
        <w:rPr>
          <w:sz w:val="22"/>
        </w:rPr>
        <w:t xml:space="preserve">rhvervs- og </w:t>
      </w:r>
      <w:r w:rsidR="007A11AB">
        <w:rPr>
          <w:sz w:val="22"/>
        </w:rPr>
        <w:t>v</w:t>
      </w:r>
      <w:r w:rsidR="007A11AB" w:rsidRPr="00BC3268">
        <w:rPr>
          <w:sz w:val="22"/>
        </w:rPr>
        <w:t>ækstministere</w:t>
      </w:r>
      <w:r w:rsidR="007A11AB">
        <w:rPr>
          <w:sz w:val="22"/>
        </w:rPr>
        <w:t>n</w:t>
      </w:r>
      <w:r w:rsidR="007A11AB" w:rsidRPr="00BC3268">
        <w:rPr>
          <w:sz w:val="22"/>
        </w:rPr>
        <w:t>.</w:t>
      </w:r>
    </w:p>
    <w:p w14:paraId="5A66F8AF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ab/>
      </w:r>
    </w:p>
    <w:p w14:paraId="3B5F3814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 xml:space="preserve">Således godkendt </w:t>
      </w:r>
      <w:r w:rsidRPr="00BC3268">
        <w:rPr>
          <w:sz w:val="22"/>
        </w:rPr>
        <w:t>på møde i Komitéen for god Fondsledelse</w:t>
      </w:r>
    </w:p>
    <w:p w14:paraId="4EF71D53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792CCC9F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>
        <w:rPr>
          <w:sz w:val="22"/>
        </w:rPr>
        <w:t>Mandag den 29. september 2014</w:t>
      </w:r>
    </w:p>
    <w:p w14:paraId="46B2D6F0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tbl>
      <w:tblPr>
        <w:tblStyle w:val="Tabel-Git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03"/>
        <w:gridCol w:w="1874"/>
        <w:gridCol w:w="3437"/>
        <w:gridCol w:w="248"/>
      </w:tblGrid>
      <w:tr w:rsidR="007A11AB" w:rsidRPr="00BC3268" w14:paraId="17322C0B" w14:textId="77777777" w:rsidTr="009246D0">
        <w:tc>
          <w:tcPr>
            <w:tcW w:w="284" w:type="dxa"/>
          </w:tcPr>
          <w:p w14:paraId="55EC93AC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6FEA0932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1874" w:type="dxa"/>
          </w:tcPr>
          <w:p w14:paraId="006FA998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6C9EB62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248" w:type="dxa"/>
          </w:tcPr>
          <w:p w14:paraId="1B57ED2A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</w:tr>
      <w:tr w:rsidR="007A11AB" w:rsidRPr="00BC3268" w14:paraId="27444A81" w14:textId="77777777" w:rsidTr="009246D0">
        <w:tc>
          <w:tcPr>
            <w:tcW w:w="284" w:type="dxa"/>
          </w:tcPr>
          <w:p w14:paraId="7AD055EB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14:paraId="257D13DB" w14:textId="77777777" w:rsidR="007A11AB" w:rsidRPr="00BC3268" w:rsidRDefault="007A11AB" w:rsidP="009246D0">
            <w:pPr>
              <w:tabs>
                <w:tab w:val="left" w:pos="851"/>
              </w:tabs>
              <w:ind w:left="-108"/>
              <w:rPr>
                <w:sz w:val="22"/>
              </w:rPr>
            </w:pPr>
            <w:r w:rsidRPr="00BC3268">
              <w:rPr>
                <w:sz w:val="22"/>
              </w:rPr>
              <w:t>Formanden</w:t>
            </w:r>
          </w:p>
          <w:p w14:paraId="4A6F7939" w14:textId="77777777" w:rsidR="007A11AB" w:rsidRPr="00BC3268" w:rsidRDefault="007A11AB" w:rsidP="009246D0">
            <w:pPr>
              <w:tabs>
                <w:tab w:val="left" w:pos="851"/>
              </w:tabs>
              <w:ind w:left="-392"/>
              <w:rPr>
                <w:sz w:val="22"/>
              </w:rPr>
            </w:pPr>
          </w:p>
          <w:p w14:paraId="318A502E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1874" w:type="dxa"/>
          </w:tcPr>
          <w:p w14:paraId="2232D1B3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14:paraId="12A38377" w14:textId="77777777" w:rsidR="007A11AB" w:rsidRPr="00BC3268" w:rsidRDefault="007A11AB" w:rsidP="009246D0">
            <w:pPr>
              <w:tabs>
                <w:tab w:val="left" w:pos="851"/>
              </w:tabs>
              <w:ind w:left="-73"/>
              <w:rPr>
                <w:sz w:val="22"/>
              </w:rPr>
            </w:pPr>
            <w:r w:rsidRPr="00BC3268">
              <w:rPr>
                <w:sz w:val="22"/>
              </w:rPr>
              <w:t>Næstformanden</w:t>
            </w:r>
          </w:p>
          <w:p w14:paraId="25F731FE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  <w:p w14:paraId="174594DF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  <w:p w14:paraId="636D004F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248" w:type="dxa"/>
          </w:tcPr>
          <w:p w14:paraId="67B1B39C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</w:tr>
      <w:tr w:rsidR="007A11AB" w:rsidRPr="00BC3268" w14:paraId="0FB40CF5" w14:textId="77777777" w:rsidTr="009246D0">
        <w:tc>
          <w:tcPr>
            <w:tcW w:w="284" w:type="dxa"/>
          </w:tcPr>
          <w:p w14:paraId="01EB00BF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14:paraId="2F88569C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  <w:p w14:paraId="1C6F737F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  <w:p w14:paraId="7AAE8AED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1874" w:type="dxa"/>
          </w:tcPr>
          <w:p w14:paraId="1514A45B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14:paraId="53F1ED15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  <w:p w14:paraId="0321170C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  <w:p w14:paraId="277DE7B9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  <w:p w14:paraId="242F7F2D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248" w:type="dxa"/>
          </w:tcPr>
          <w:p w14:paraId="4D2E9918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</w:tr>
      <w:tr w:rsidR="007A11AB" w:rsidRPr="00BC3268" w14:paraId="1702B992" w14:textId="77777777" w:rsidTr="009246D0">
        <w:tc>
          <w:tcPr>
            <w:tcW w:w="284" w:type="dxa"/>
          </w:tcPr>
          <w:p w14:paraId="0961C150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14:paraId="0641D748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  <w:p w14:paraId="26ECA7FF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  <w:p w14:paraId="5FF59603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  <w:p w14:paraId="6B88C9A7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1874" w:type="dxa"/>
          </w:tcPr>
          <w:p w14:paraId="79AD0054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</w:tcPr>
          <w:p w14:paraId="7CF28FAC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248" w:type="dxa"/>
          </w:tcPr>
          <w:p w14:paraId="007EAEC0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</w:tr>
    </w:tbl>
    <w:p w14:paraId="5E95C3E5" w14:textId="77777777" w:rsidR="007A11AB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328913D4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4FCA6FE6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  <w:r w:rsidRPr="00BC3268">
        <w:rPr>
          <w:sz w:val="22"/>
        </w:rPr>
        <w:t xml:space="preserve">Godkendt af </w:t>
      </w:r>
      <w:r>
        <w:rPr>
          <w:sz w:val="22"/>
        </w:rPr>
        <w:t>e</w:t>
      </w:r>
      <w:r w:rsidRPr="00BC3268">
        <w:rPr>
          <w:sz w:val="22"/>
        </w:rPr>
        <w:t xml:space="preserve">rhvervs- og </w:t>
      </w:r>
      <w:r>
        <w:rPr>
          <w:sz w:val="22"/>
        </w:rPr>
        <w:t>v</w:t>
      </w:r>
      <w:r w:rsidRPr="00BC3268">
        <w:rPr>
          <w:sz w:val="22"/>
        </w:rPr>
        <w:t>ækstminister</w:t>
      </w:r>
      <w:r>
        <w:rPr>
          <w:sz w:val="22"/>
        </w:rPr>
        <w:t>n</w:t>
      </w:r>
      <w:r w:rsidRPr="00BC3268">
        <w:rPr>
          <w:sz w:val="22"/>
        </w:rPr>
        <w:t xml:space="preserve"> den _____________ 2014.</w:t>
      </w:r>
    </w:p>
    <w:p w14:paraId="2433BA20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tbl>
      <w:tblPr>
        <w:tblStyle w:val="Tabel-Gitter"/>
        <w:tblW w:w="0" w:type="auto"/>
        <w:tblInd w:w="-176" w:type="dxa"/>
        <w:tblLook w:val="04A0" w:firstRow="1" w:lastRow="0" w:firstColumn="1" w:lastColumn="0" w:noHBand="0" w:noVBand="1"/>
      </w:tblPr>
      <w:tblGrid>
        <w:gridCol w:w="284"/>
        <w:gridCol w:w="3903"/>
      </w:tblGrid>
      <w:tr w:rsidR="007A11AB" w:rsidRPr="00BC3268" w14:paraId="5B503473" w14:textId="77777777" w:rsidTr="009246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822DB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3903" w:type="dxa"/>
            <w:tcBorders>
              <w:top w:val="nil"/>
              <w:left w:val="nil"/>
              <w:right w:val="nil"/>
            </w:tcBorders>
          </w:tcPr>
          <w:p w14:paraId="6EDE2577" w14:textId="77777777" w:rsidR="007A11AB" w:rsidRPr="00BC3268" w:rsidRDefault="007A11AB" w:rsidP="009246D0">
            <w:pPr>
              <w:tabs>
                <w:tab w:val="left" w:pos="851"/>
              </w:tabs>
              <w:rPr>
                <w:sz w:val="22"/>
              </w:rPr>
            </w:pPr>
          </w:p>
        </w:tc>
      </w:tr>
    </w:tbl>
    <w:p w14:paraId="2EF9011C" w14:textId="77777777" w:rsidR="007A11AB" w:rsidRPr="00BC3268" w:rsidRDefault="007A11AB" w:rsidP="007A11AB">
      <w:pPr>
        <w:tabs>
          <w:tab w:val="left" w:pos="851"/>
        </w:tabs>
        <w:ind w:left="851" w:hanging="851"/>
        <w:rPr>
          <w:sz w:val="22"/>
        </w:rPr>
      </w:pPr>
    </w:p>
    <w:p w14:paraId="21AC6724" w14:textId="77777777" w:rsidR="0050719D" w:rsidRDefault="0050719D"/>
    <w:sectPr w:rsidR="0050719D" w:rsidSect="007A11AB">
      <w:footerReference w:type="default" r:id="rId10"/>
      <w:type w:val="nextColumn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0882" w14:textId="77777777" w:rsidR="007A11AB" w:rsidRDefault="007A11AB" w:rsidP="00EC76D3">
      <w:r>
        <w:separator/>
      </w:r>
    </w:p>
  </w:endnote>
  <w:endnote w:type="continuationSeparator" w:id="0">
    <w:p w14:paraId="4BB97D89" w14:textId="77777777" w:rsidR="007A11AB" w:rsidRDefault="007A11AB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774789"/>
      <w:docPartObj>
        <w:docPartGallery w:val="Page Numbers (Bottom of Page)"/>
        <w:docPartUnique/>
      </w:docPartObj>
    </w:sdtPr>
    <w:sdtEndPr/>
    <w:sdtContent>
      <w:p w14:paraId="150C4389" w14:textId="77777777" w:rsidR="00463BA2" w:rsidRDefault="002E54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2879326" w14:textId="77777777" w:rsidR="00463BA2" w:rsidRDefault="00014E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7B838" w14:textId="77777777" w:rsidR="007A11AB" w:rsidRDefault="007A11AB" w:rsidP="00EC76D3">
      <w:r>
        <w:separator/>
      </w:r>
    </w:p>
  </w:footnote>
  <w:footnote w:type="continuationSeparator" w:id="0">
    <w:p w14:paraId="1E6DA9F4" w14:textId="77777777" w:rsidR="007A11AB" w:rsidRDefault="007A11AB" w:rsidP="00EC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FD2"/>
    <w:multiLevelType w:val="hybridMultilevel"/>
    <w:tmpl w:val="8BBAC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192"/>
    <w:multiLevelType w:val="hybridMultilevel"/>
    <w:tmpl w:val="0B88D9D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AB"/>
    <w:rsid w:val="00014EC5"/>
    <w:rsid w:val="001660B9"/>
    <w:rsid w:val="002105F4"/>
    <w:rsid w:val="002E54E4"/>
    <w:rsid w:val="003C1CD3"/>
    <w:rsid w:val="0050719D"/>
    <w:rsid w:val="00535490"/>
    <w:rsid w:val="00546FFD"/>
    <w:rsid w:val="00755B7B"/>
    <w:rsid w:val="007A11AB"/>
    <w:rsid w:val="00802174"/>
    <w:rsid w:val="00857303"/>
    <w:rsid w:val="008B55D4"/>
    <w:rsid w:val="008E3CA0"/>
    <w:rsid w:val="00AD500E"/>
    <w:rsid w:val="00B0561F"/>
    <w:rsid w:val="00C16FAC"/>
    <w:rsid w:val="00D23C46"/>
    <w:rsid w:val="00EC76D3"/>
    <w:rsid w:val="00E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FBC5E5"/>
  <w15:chartTrackingRefBased/>
  <w15:docId w15:val="{075BACF4-F65B-469E-A2BB-4BF0C44B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AB"/>
    <w:pPr>
      <w:spacing w:after="200" w:line="276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styleId="Listeafsnit">
    <w:name w:val="List Paragraph"/>
    <w:basedOn w:val="Normal"/>
    <w:uiPriority w:val="34"/>
    <w:qFormat/>
    <w:rsid w:val="007A11AB"/>
    <w:pPr>
      <w:ind w:left="720"/>
      <w:contextualSpacing/>
    </w:pPr>
  </w:style>
  <w:style w:type="table" w:styleId="Tabel-Gitter">
    <w:name w:val="Table Grid"/>
    <w:basedOn w:val="Tabel-Normal"/>
    <w:uiPriority w:val="59"/>
    <w:rsid w:val="007A11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7A1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11AB"/>
    <w:rPr>
      <w:rFonts w:eastAsiaTheme="minorHAnsi" w:cstheme="minorBidi"/>
      <w:sz w:val="24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7A11A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7A11AB"/>
    <w:rPr>
      <w:rFonts w:eastAsiaTheme="minorHAnsi" w:cstheme="minorBidi"/>
      <w:sz w:val="24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11A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1A5B66966E54FA7270CE56A0A8EA3" ma:contentTypeVersion="13" ma:contentTypeDescription="Opret et nyt dokument." ma:contentTypeScope="" ma:versionID="d8f2f6d1153079abe7894377292676a3">
  <xsd:schema xmlns:xsd="http://www.w3.org/2001/XMLSchema" xmlns:xs="http://www.w3.org/2001/XMLSchema" xmlns:p="http://schemas.microsoft.com/office/2006/metadata/properties" xmlns:ns3="67959387-b910-47a5-8301-8f4f5bdf62fb" xmlns:ns4="2d946ae7-885a-4d21-ae44-0b7dc22704af" targetNamespace="http://schemas.microsoft.com/office/2006/metadata/properties" ma:root="true" ma:fieldsID="a8ce5d96308cf34ed12351f5fd733e6e" ns3:_="" ns4:_="">
    <xsd:import namespace="67959387-b910-47a5-8301-8f4f5bdf62fb"/>
    <xsd:import namespace="2d946ae7-885a-4d21-ae44-0b7dc2270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59387-b910-47a5-8301-8f4f5bdf6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6ae7-885a-4d21-ae44-0b7dc2270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BE741-8AE8-450F-8A5F-CB7711EEFAF3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d946ae7-885a-4d21-ae44-0b7dc22704af"/>
    <ds:schemaRef ds:uri="67959387-b910-47a5-8301-8f4f5bdf62fb"/>
  </ds:schemaRefs>
</ds:datastoreItem>
</file>

<file path=customXml/itemProps2.xml><?xml version="1.0" encoding="utf-8"?>
<ds:datastoreItem xmlns:ds="http://schemas.openxmlformats.org/officeDocument/2006/customXml" ds:itemID="{863D1E62-5C7D-4D3D-88F4-D2E45BE13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4C0FF-8AAF-4B94-B5E4-5B650EA3D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59387-b910-47a5-8301-8f4f5bdf62fb"/>
    <ds:schemaRef ds:uri="2d946ae7-885a-4d21-ae44-0b7dc2270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1011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June Ventrup</dc:creator>
  <cp:keywords/>
  <dc:description/>
  <cp:lastModifiedBy>Sanne June Ventrup</cp:lastModifiedBy>
  <cp:revision>6</cp:revision>
  <dcterms:created xsi:type="dcterms:W3CDTF">2021-01-19T10:13:00Z</dcterms:created>
  <dcterms:modified xsi:type="dcterms:W3CDTF">2021-01-19T10:46:00Z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0x0101001CE1A5B66966E54FA7270CE56A0A8EA3</vt:lpwstr>
  </property>
</Properties>
</file>